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hint="eastAsia" w:ascii="宋体" w:hAnsi="宋体" w:eastAsia="宋体" w:cs="宋体"/>
          <w:b/>
          <w:color w:val="auto"/>
          <w:sz w:val="50"/>
          <w:szCs w:val="50"/>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b w:val="0"/>
          <w:bCs/>
          <w:color w:val="auto"/>
          <w:sz w:val="44"/>
          <w:szCs w:val="44"/>
          <w:highlight w:val="none"/>
          <w:lang w:eastAsia="zh-CN"/>
        </w:rPr>
      </w:pPr>
      <w:r>
        <w:rPr>
          <w:rFonts w:hint="eastAsia" w:ascii="宋体" w:hAnsi="宋体" w:cs="宋体"/>
          <w:b w:val="0"/>
          <w:bCs/>
          <w:color w:val="auto"/>
          <w:sz w:val="44"/>
          <w:szCs w:val="44"/>
          <w:highlight w:val="none"/>
          <w:lang w:eastAsia="zh-CN"/>
        </w:rPr>
        <w:t>重庆医科大学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36"/>
          <w:szCs w:val="36"/>
          <w:highlight w:val="none"/>
        </w:rPr>
      </w:pPr>
      <w:r>
        <w:rPr>
          <w:rFonts w:hint="eastAsia" w:ascii="宋体" w:hAnsi="宋体" w:cs="宋体"/>
          <w:b w:val="0"/>
          <w:bCs/>
          <w:color w:val="auto"/>
          <w:sz w:val="44"/>
          <w:szCs w:val="44"/>
          <w:highlight w:val="none"/>
          <w:lang w:eastAsia="zh-CN"/>
        </w:rPr>
        <w:t>自主</w:t>
      </w:r>
      <w:r>
        <w:rPr>
          <w:rFonts w:hint="eastAsia" w:ascii="宋体" w:hAnsi="宋体" w:eastAsia="宋体" w:cs="宋体"/>
          <w:b w:val="0"/>
          <w:bCs/>
          <w:color w:val="auto"/>
          <w:sz w:val="44"/>
          <w:szCs w:val="44"/>
          <w:highlight w:val="none"/>
        </w:rPr>
        <w:t>采购文件</w:t>
      </w:r>
    </w:p>
    <w:p>
      <w:pPr>
        <w:adjustRightInd w:val="0"/>
        <w:snapToGrid w:val="0"/>
        <w:spacing w:line="360" w:lineRule="auto"/>
        <w:jc w:val="left"/>
        <w:rPr>
          <w:rFonts w:hint="eastAsia" w:ascii="宋体" w:hAnsi="宋体" w:eastAsia="宋体" w:cs="宋体"/>
          <w:b w:val="0"/>
          <w:bCs w:val="0"/>
          <w:color w:val="auto"/>
          <w:sz w:val="36"/>
          <w:szCs w:val="36"/>
          <w:highlight w:val="none"/>
        </w:rPr>
      </w:pPr>
    </w:p>
    <w:p>
      <w:pPr>
        <w:adjustRightInd w:val="0"/>
        <w:snapToGrid w:val="0"/>
        <w:spacing w:line="360" w:lineRule="auto"/>
        <w:ind w:firstLine="1280" w:firstLineChars="400"/>
        <w:rPr>
          <w:rFonts w:hint="eastAsia" w:ascii="宋体" w:hAnsi="宋体" w:eastAsia="宋体" w:cs="宋体"/>
          <w:b w:val="0"/>
          <w:bCs w:val="0"/>
          <w:color w:val="auto"/>
          <w:sz w:val="32"/>
          <w:szCs w:val="32"/>
          <w:highlight w:val="none"/>
        </w:rPr>
      </w:pPr>
    </w:p>
    <w:p>
      <w:pPr>
        <w:adjustRightInd w:val="0"/>
        <w:snapToGrid w:val="0"/>
        <w:spacing w:line="360" w:lineRule="auto"/>
        <w:ind w:firstLine="1280" w:firstLineChars="400"/>
        <w:rPr>
          <w:rFonts w:hint="eastAsia" w:ascii="宋体" w:hAnsi="宋体" w:eastAsia="宋体" w:cs="宋体"/>
          <w:color w:val="auto"/>
          <w:highlight w:val="none"/>
        </w:rPr>
      </w:pPr>
      <w:r>
        <w:rPr>
          <w:rFonts w:hint="eastAsia" w:ascii="宋体" w:hAnsi="宋体" w:eastAsia="宋体" w:cs="宋体"/>
          <w:b w:val="0"/>
          <w:bCs w:val="0"/>
          <w:color w:val="auto"/>
          <w:sz w:val="32"/>
          <w:szCs w:val="32"/>
          <w:highlight w:val="none"/>
        </w:rPr>
        <w:t>项目名称：</w:t>
      </w:r>
      <w:r>
        <w:rPr>
          <w:rFonts w:hint="eastAsia" w:ascii="宋体" w:hAnsi="宋体" w:eastAsia="宋体" w:cs="宋体"/>
          <w:b w:val="0"/>
          <w:bCs w:val="0"/>
          <w:color w:val="auto"/>
          <w:sz w:val="32"/>
          <w:szCs w:val="32"/>
          <w:highlight w:val="none"/>
          <w:lang w:val="en-US" w:eastAsia="zh-CN"/>
        </w:rPr>
        <w:t>康复医学院混合式课程建设服务</w:t>
      </w:r>
      <w:r>
        <w:rPr>
          <w:rFonts w:hint="eastAsia" w:ascii="宋体" w:hAnsi="宋体" w:cs="宋体"/>
          <w:b w:val="0"/>
          <w:bCs w:val="0"/>
          <w:color w:val="auto"/>
          <w:sz w:val="32"/>
          <w:szCs w:val="32"/>
          <w:highlight w:val="none"/>
          <w:lang w:val="en-US" w:eastAsia="zh-CN"/>
        </w:rPr>
        <w:t>项目</w:t>
      </w:r>
    </w:p>
    <w:p>
      <w:pPr>
        <w:adjustRightInd w:val="0"/>
        <w:snapToGrid w:val="0"/>
        <w:spacing w:line="360" w:lineRule="auto"/>
        <w:ind w:firstLine="1280" w:firstLineChars="4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项目编号：XM2023102062</w:t>
      </w:r>
    </w:p>
    <w:p>
      <w:pPr>
        <w:tabs>
          <w:tab w:val="left" w:pos="1050"/>
          <w:tab w:val="left" w:pos="1470"/>
        </w:tabs>
        <w:adjustRightInd w:val="0"/>
        <w:snapToGrid w:val="0"/>
        <w:spacing w:line="360" w:lineRule="auto"/>
        <w:ind w:firstLine="1280" w:firstLineChars="4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采 购 人：重庆医科大学</w:t>
      </w:r>
    </w:p>
    <w:p>
      <w:pPr>
        <w:tabs>
          <w:tab w:val="left" w:pos="1050"/>
          <w:tab w:val="left" w:pos="1470"/>
        </w:tabs>
        <w:adjustRightInd w:val="0"/>
        <w:snapToGrid w:val="0"/>
        <w:spacing w:line="360" w:lineRule="auto"/>
        <w:ind w:firstLine="1280" w:firstLineChars="400"/>
        <w:rPr>
          <w:rFonts w:hint="eastAsia" w:ascii="宋体" w:hAnsi="宋体" w:eastAsia="宋体" w:cs="宋体"/>
          <w:b w:val="0"/>
          <w:bCs w:val="0"/>
          <w:color w:val="auto"/>
          <w:sz w:val="32"/>
          <w:szCs w:val="32"/>
          <w:highlight w:val="none"/>
          <w:lang w:eastAsia="zh-CN"/>
        </w:rPr>
      </w:pPr>
      <w:r>
        <w:rPr>
          <w:rFonts w:hint="eastAsia" w:ascii="宋体" w:hAnsi="宋体" w:cs="宋体"/>
          <w:b w:val="0"/>
          <w:bCs w:val="0"/>
          <w:color w:val="auto"/>
          <w:sz w:val="32"/>
          <w:szCs w:val="32"/>
          <w:highlight w:val="none"/>
          <w:lang w:eastAsia="zh-CN"/>
        </w:rPr>
        <w:t>采购组织人：重庆医科大学附属康复医院</w:t>
      </w:r>
    </w:p>
    <w:p>
      <w:pPr>
        <w:pStyle w:val="11"/>
        <w:adjustRightInd w:val="0"/>
        <w:snapToGrid w:val="0"/>
        <w:spacing w:line="360" w:lineRule="auto"/>
        <w:jc w:val="center"/>
        <w:rPr>
          <w:rFonts w:hint="eastAsia" w:ascii="宋体" w:hAnsi="宋体" w:eastAsia="宋体" w:cs="宋体"/>
          <w:b/>
          <w:bCs/>
          <w:color w:val="auto"/>
          <w:sz w:val="44"/>
          <w:szCs w:val="44"/>
          <w:highlight w:val="none"/>
        </w:rPr>
      </w:pPr>
    </w:p>
    <w:p>
      <w:pPr>
        <w:pStyle w:val="11"/>
        <w:adjustRightInd w:val="0"/>
        <w:snapToGrid w:val="0"/>
        <w:spacing w:line="360" w:lineRule="auto"/>
        <w:jc w:val="center"/>
        <w:rPr>
          <w:rFonts w:hint="eastAsia" w:ascii="宋体" w:hAnsi="宋体" w:eastAsia="宋体" w:cs="宋体"/>
          <w:b/>
          <w:bCs/>
          <w:color w:val="auto"/>
          <w:sz w:val="44"/>
          <w:szCs w:val="44"/>
          <w:highlight w:val="none"/>
        </w:rPr>
      </w:pPr>
    </w:p>
    <w:p>
      <w:pPr>
        <w:pStyle w:val="11"/>
        <w:adjustRightInd w:val="0"/>
        <w:snapToGrid w:val="0"/>
        <w:spacing w:line="360" w:lineRule="auto"/>
        <w:jc w:val="center"/>
        <w:rPr>
          <w:rFonts w:hint="eastAsia" w:ascii="宋体" w:hAnsi="宋体" w:eastAsia="宋体" w:cs="宋体"/>
          <w:b/>
          <w:bCs/>
          <w:color w:val="auto"/>
          <w:sz w:val="44"/>
          <w:szCs w:val="44"/>
          <w:highlight w:val="none"/>
        </w:rPr>
      </w:pPr>
    </w:p>
    <w:p>
      <w:pPr>
        <w:pStyle w:val="11"/>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202</w:t>
      </w:r>
      <w:r>
        <w:rPr>
          <w:rFonts w:hint="eastAsia" w:ascii="宋体" w:hAnsi="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rPr>
        <w:t>月</w:t>
      </w:r>
    </w:p>
    <w:p>
      <w:pPr>
        <w:spacing w:line="600" w:lineRule="exact"/>
        <w:jc w:val="center"/>
        <w:outlineLvl w:val="0"/>
        <w:rPr>
          <w:rFonts w:hint="eastAsia" w:ascii="宋体" w:hAnsi="宋体" w:eastAsia="宋体" w:cs="宋体"/>
          <w:color w:val="auto"/>
          <w:szCs w:val="21"/>
          <w:highlight w:val="none"/>
        </w:rPr>
      </w:pPr>
    </w:p>
    <w:p>
      <w:pPr>
        <w:pStyle w:val="4"/>
        <w:rPr>
          <w:rFonts w:hint="eastAsia" w:ascii="宋体" w:hAnsi="宋体" w:eastAsia="宋体" w:cs="宋体"/>
          <w:color w:val="auto"/>
          <w:szCs w:val="21"/>
          <w:highlight w:val="none"/>
        </w:rPr>
      </w:pPr>
    </w:p>
    <w:p>
      <w:pPr>
        <w:rPr>
          <w:rFonts w:hint="eastAsia"/>
          <w:color w:val="auto"/>
          <w:highlight w:val="none"/>
        </w:rPr>
      </w:pPr>
    </w:p>
    <w:p>
      <w:pPr>
        <w:adjustRightInd w:val="0"/>
        <w:snapToGrid w:val="0"/>
        <w:spacing w:line="360" w:lineRule="auto"/>
        <w:rPr>
          <w:rFonts w:hint="eastAsia" w:ascii="宋体" w:hAnsi="宋体" w:eastAsia="宋体" w:cs="宋体"/>
          <w:b/>
          <w:color w:val="auto"/>
          <w:szCs w:val="21"/>
          <w:highlight w:val="none"/>
        </w:rPr>
      </w:pPr>
    </w:p>
    <w:p>
      <w:pPr>
        <w:adjustRightInd w:val="0"/>
        <w:snapToGrid w:val="0"/>
        <w:spacing w:line="360" w:lineRule="auto"/>
        <w:rPr>
          <w:rFonts w:hint="eastAsia" w:ascii="宋体" w:hAnsi="宋体" w:eastAsia="宋体" w:cs="宋体"/>
          <w:b/>
          <w:color w:val="auto"/>
          <w:szCs w:val="21"/>
          <w:highlight w:val="none"/>
        </w:rPr>
      </w:pPr>
    </w:p>
    <w:p>
      <w:pPr>
        <w:pStyle w:val="4"/>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pStyle w:val="4"/>
        <w:spacing w:line="500" w:lineRule="exact"/>
        <w:jc w:val="center"/>
        <w:rPr>
          <w:rFonts w:hint="eastAsia" w:ascii="宋体" w:hAnsi="宋体" w:eastAsia="宋体" w:cs="宋体"/>
          <w:color w:val="auto"/>
          <w:sz w:val="24"/>
          <w:szCs w:val="24"/>
          <w:highlight w:val="none"/>
        </w:rPr>
      </w:pPr>
      <w:bookmarkStart w:id="0" w:name="_Toc465084019"/>
      <w:r>
        <w:rPr>
          <w:rFonts w:hint="eastAsia" w:ascii="宋体" w:hAnsi="宋体" w:eastAsia="宋体" w:cs="宋体"/>
          <w:color w:val="auto"/>
          <w:sz w:val="24"/>
          <w:szCs w:val="24"/>
          <w:highlight w:val="none"/>
        </w:rPr>
        <w:t>重庆医科大学采购文书</w:t>
      </w:r>
    </w:p>
    <w:p>
      <w:pPr>
        <w:pStyle w:val="4"/>
        <w:spacing w:line="50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重庆医科大学现对</w:t>
      </w:r>
      <w:r>
        <w:rPr>
          <w:rFonts w:hint="eastAsia" w:ascii="宋体" w:hAnsi="宋体" w:eastAsia="宋体" w:cs="宋体"/>
          <w:b w:val="0"/>
          <w:bCs/>
          <w:color w:val="auto"/>
          <w:sz w:val="24"/>
          <w:szCs w:val="24"/>
          <w:highlight w:val="none"/>
          <w:u w:val="single"/>
          <w:lang w:val="en-US" w:eastAsia="zh-CN"/>
        </w:rPr>
        <w:t>康复医学院混合式课程建设服务项目</w:t>
      </w:r>
      <w:r>
        <w:rPr>
          <w:rFonts w:hint="eastAsia" w:ascii="宋体" w:hAnsi="宋体" w:eastAsia="宋体" w:cs="宋体"/>
          <w:b w:val="0"/>
          <w:bCs/>
          <w:color w:val="auto"/>
          <w:sz w:val="24"/>
          <w:szCs w:val="24"/>
          <w:highlight w:val="none"/>
        </w:rPr>
        <w:t>进行校内分散采购，欢迎有资格的供应商前来参加</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谈判。</w:t>
      </w:r>
    </w:p>
    <w:p>
      <w:pPr>
        <w:pStyle w:val="4"/>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一、招标项目内容</w:t>
      </w:r>
      <w:bookmarkEnd w:id="0"/>
    </w:p>
    <w:tbl>
      <w:tblPr>
        <w:tblStyle w:val="19"/>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gridCol w:w="2122"/>
        <w:gridCol w:w="1750"/>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712" w:type="dxa"/>
            <w:vAlign w:val="center"/>
          </w:tcPr>
          <w:p>
            <w:pPr>
              <w:pStyle w:val="9"/>
              <w:spacing w:after="0" w:line="240" w:lineRule="atLeast"/>
              <w:ind w:left="0" w:leftChars="0"/>
              <w:jc w:val="center"/>
              <w:outlineLvl w:val="0"/>
              <w:rPr>
                <w:rFonts w:hint="eastAsia" w:ascii="宋体" w:hAnsi="宋体" w:eastAsia="宋体" w:cs="宋体"/>
                <w:b/>
                <w:color w:val="auto"/>
                <w:szCs w:val="21"/>
                <w:highlight w:val="none"/>
              </w:rPr>
            </w:pPr>
            <w:bookmarkStart w:id="1" w:name="_Toc89868471"/>
            <w:bookmarkStart w:id="2" w:name="_Toc8088"/>
            <w:r>
              <w:rPr>
                <w:rFonts w:hint="eastAsia" w:ascii="宋体" w:hAnsi="宋体" w:eastAsia="宋体" w:cs="宋体"/>
                <w:b/>
                <w:color w:val="auto"/>
                <w:szCs w:val="21"/>
                <w:highlight w:val="none"/>
              </w:rPr>
              <w:t>项目名称</w:t>
            </w:r>
            <w:bookmarkEnd w:id="1"/>
            <w:bookmarkEnd w:id="2"/>
          </w:p>
        </w:tc>
        <w:tc>
          <w:tcPr>
            <w:tcW w:w="2122" w:type="dxa"/>
            <w:vAlign w:val="center"/>
          </w:tcPr>
          <w:p>
            <w:pPr>
              <w:pStyle w:val="9"/>
              <w:spacing w:after="0" w:line="240" w:lineRule="atLeast"/>
              <w:ind w:left="0" w:leftChars="0"/>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项目内容</w:t>
            </w:r>
          </w:p>
        </w:tc>
        <w:tc>
          <w:tcPr>
            <w:tcW w:w="1750" w:type="dxa"/>
            <w:vAlign w:val="center"/>
          </w:tcPr>
          <w:p>
            <w:pPr>
              <w:pStyle w:val="9"/>
              <w:spacing w:after="0" w:line="240" w:lineRule="atLeast"/>
              <w:ind w:left="0" w:leftChars="0"/>
              <w:jc w:val="center"/>
              <w:outlineLvl w:val="0"/>
              <w:rPr>
                <w:rFonts w:hint="eastAsia" w:ascii="宋体" w:hAnsi="宋体" w:eastAsia="宋体" w:cs="宋体"/>
                <w:b/>
                <w:color w:val="auto"/>
                <w:szCs w:val="21"/>
                <w:highlight w:val="none"/>
              </w:rPr>
            </w:pPr>
            <w:bookmarkStart w:id="3" w:name="_Toc89868475"/>
            <w:bookmarkStart w:id="4" w:name="_Toc7414"/>
            <w:r>
              <w:rPr>
                <w:rFonts w:hint="eastAsia" w:ascii="宋体" w:hAnsi="宋体" w:eastAsia="宋体" w:cs="宋体"/>
                <w:b/>
                <w:color w:val="auto"/>
                <w:szCs w:val="21"/>
                <w:highlight w:val="none"/>
              </w:rPr>
              <w:t>中标人数量（名）</w:t>
            </w:r>
            <w:bookmarkEnd w:id="3"/>
            <w:bookmarkEnd w:id="4"/>
          </w:p>
        </w:tc>
        <w:tc>
          <w:tcPr>
            <w:tcW w:w="1128" w:type="dxa"/>
            <w:vAlign w:val="center"/>
          </w:tcPr>
          <w:p>
            <w:pPr>
              <w:pStyle w:val="9"/>
              <w:spacing w:after="0" w:line="240" w:lineRule="atLeast"/>
              <w:ind w:left="0" w:leftChars="0"/>
              <w:jc w:val="center"/>
              <w:outlineLvl w:val="0"/>
              <w:rPr>
                <w:rFonts w:hint="eastAsia" w:ascii="宋体" w:hAnsi="宋体" w:cs="宋体"/>
                <w:b/>
                <w:color w:val="auto"/>
                <w:szCs w:val="21"/>
                <w:highlight w:val="none"/>
                <w:lang w:eastAsia="zh-CN"/>
              </w:rPr>
            </w:pPr>
            <w:r>
              <w:rPr>
                <w:rFonts w:hint="eastAsia" w:ascii="宋体" w:hAnsi="宋体" w:cs="宋体"/>
                <w:b/>
                <w:color w:val="auto"/>
                <w:szCs w:val="21"/>
                <w:highlight w:val="none"/>
                <w:lang w:eastAsia="zh-CN"/>
              </w:rPr>
              <w:t>预算金额（万元）</w:t>
            </w:r>
          </w:p>
        </w:tc>
        <w:tc>
          <w:tcPr>
            <w:tcW w:w="1128" w:type="dxa"/>
            <w:vAlign w:val="center"/>
          </w:tcPr>
          <w:p>
            <w:pPr>
              <w:pStyle w:val="9"/>
              <w:spacing w:after="0" w:line="240" w:lineRule="atLeast"/>
              <w:ind w:left="0" w:leftChars="0"/>
              <w:jc w:val="center"/>
              <w:outlineLvl w:val="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712" w:type="dxa"/>
            <w:vAlign w:val="center"/>
          </w:tcPr>
          <w:p>
            <w:pPr>
              <w:pStyle w:val="9"/>
              <w:spacing w:after="0" w:line="240" w:lineRule="atLeast"/>
              <w:ind w:left="0" w:leftChars="0"/>
              <w:jc w:val="center"/>
              <w:outlineLvl w:val="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康复医学院混合式课程建设服务项目</w:t>
            </w:r>
          </w:p>
        </w:tc>
        <w:tc>
          <w:tcPr>
            <w:tcW w:w="2122" w:type="dxa"/>
            <w:vAlign w:val="center"/>
          </w:tcPr>
          <w:p>
            <w:pPr>
              <w:pStyle w:val="9"/>
              <w:spacing w:after="0" w:line="240" w:lineRule="atLeast"/>
              <w:ind w:left="0" w:leftChars="0"/>
              <w:jc w:val="center"/>
              <w:outlineLvl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混合式课程建设服务，详见“第二篇、第三篇”</w:t>
            </w:r>
          </w:p>
        </w:tc>
        <w:tc>
          <w:tcPr>
            <w:tcW w:w="1750" w:type="dxa"/>
            <w:vAlign w:val="center"/>
          </w:tcPr>
          <w:p>
            <w:pPr>
              <w:pStyle w:val="9"/>
              <w:spacing w:after="0" w:line="240" w:lineRule="atLeast"/>
              <w:ind w:left="0" w:leftChars="0"/>
              <w:jc w:val="center"/>
              <w:outlineLvl w:val="0"/>
              <w:rPr>
                <w:rFonts w:hint="eastAsia" w:ascii="宋体" w:hAnsi="宋体" w:eastAsia="宋体" w:cs="宋体"/>
                <w:bCs/>
                <w:color w:val="auto"/>
                <w:szCs w:val="21"/>
                <w:highlight w:val="none"/>
              </w:rPr>
            </w:pPr>
            <w:bookmarkStart w:id="5" w:name="_Toc89868480"/>
            <w:r>
              <w:rPr>
                <w:rFonts w:hint="eastAsia" w:ascii="宋体" w:hAnsi="宋体" w:eastAsia="宋体" w:cs="宋体"/>
                <w:bCs/>
                <w:color w:val="auto"/>
                <w:szCs w:val="21"/>
                <w:highlight w:val="none"/>
              </w:rPr>
              <w:t>1</w:t>
            </w:r>
            <w:bookmarkEnd w:id="5"/>
          </w:p>
        </w:tc>
        <w:tc>
          <w:tcPr>
            <w:tcW w:w="1128" w:type="dxa"/>
            <w:vAlign w:val="center"/>
          </w:tcPr>
          <w:p>
            <w:pPr>
              <w:pStyle w:val="9"/>
              <w:spacing w:after="0" w:line="240" w:lineRule="atLeast"/>
              <w:ind w:left="0" w:leftChars="0"/>
              <w:jc w:val="center"/>
              <w:outlineLvl w:val="0"/>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11.60</w:t>
            </w:r>
          </w:p>
        </w:tc>
        <w:tc>
          <w:tcPr>
            <w:tcW w:w="1128" w:type="dxa"/>
            <w:vAlign w:val="center"/>
          </w:tcPr>
          <w:p>
            <w:pPr>
              <w:pStyle w:val="9"/>
              <w:spacing w:after="0" w:line="240" w:lineRule="atLeast"/>
              <w:ind w:left="0" w:leftChars="0"/>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年</w:t>
            </w:r>
          </w:p>
        </w:tc>
      </w:tr>
    </w:tbl>
    <w:p>
      <w:pPr>
        <w:pStyle w:val="4"/>
        <w:spacing w:line="500" w:lineRule="exact"/>
        <w:jc w:val="both"/>
        <w:rPr>
          <w:rFonts w:hint="default" w:ascii="宋体" w:hAnsi="宋体" w:eastAsia="宋体" w:cs="宋体"/>
          <w:b w:val="0"/>
          <w:bCs w:val="0"/>
          <w:color w:val="auto"/>
          <w:sz w:val="24"/>
          <w:szCs w:val="24"/>
          <w:highlight w:val="none"/>
          <w:lang w:val="en-US" w:eastAsia="zh-CN"/>
        </w:rPr>
      </w:pPr>
      <w:bookmarkStart w:id="6" w:name="_Toc465084020"/>
      <w:r>
        <w:rPr>
          <w:rFonts w:hint="eastAsia" w:ascii="宋体" w:hAnsi="宋体" w:eastAsia="宋体" w:cs="宋体"/>
          <w:color w:val="auto"/>
          <w:sz w:val="24"/>
          <w:szCs w:val="24"/>
          <w:highlight w:val="none"/>
          <w:lang w:eastAsia="zh-CN"/>
        </w:rPr>
        <w:t>备注：</w:t>
      </w:r>
      <w:r>
        <w:rPr>
          <w:rFonts w:hint="eastAsia" w:ascii="宋体" w:hAnsi="宋体" w:eastAsia="宋体" w:cs="宋体"/>
          <w:b w:val="0"/>
          <w:bCs w:val="0"/>
          <w:szCs w:val="21"/>
          <w:highlight w:val="none"/>
          <w:lang w:eastAsia="zh-CN"/>
        </w:rPr>
        <w:t>课程建设数量：</w:t>
      </w:r>
      <w:r>
        <w:rPr>
          <w:rFonts w:hint="eastAsia" w:ascii="宋体" w:hAnsi="宋体" w:eastAsia="宋体" w:cs="宋体"/>
          <w:b w:val="0"/>
          <w:bCs w:val="0"/>
          <w:szCs w:val="21"/>
          <w:highlight w:val="none"/>
          <w:lang w:val="en-US" w:eastAsia="zh-CN"/>
        </w:rPr>
        <w:t>2门，5.8万/门。</w:t>
      </w:r>
      <w:bookmarkStart w:id="69" w:name="_GoBack"/>
      <w:bookmarkEnd w:id="69"/>
    </w:p>
    <w:p>
      <w:pPr>
        <w:pStyle w:val="4"/>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6"/>
    </w:p>
    <w:p>
      <w:pPr>
        <w:ind w:firstLine="480" w:firstLineChars="2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预算项目：精品课程建设项目</w:t>
      </w:r>
      <w:r>
        <w:rPr>
          <w:rFonts w:hint="eastAsia" w:ascii="宋体" w:hAnsi="宋体" w:eastAsia="宋体" w:cs="宋体"/>
          <w:color w:val="auto"/>
          <w:sz w:val="24"/>
          <w:szCs w:val="32"/>
          <w:highlight w:val="none"/>
        </w:rPr>
        <w:t>。</w:t>
      </w:r>
    </w:p>
    <w:p>
      <w:pPr>
        <w:pStyle w:val="4"/>
        <w:spacing w:line="5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三、采购方式</w:t>
      </w:r>
    </w:p>
    <w:p>
      <w:pPr>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校内分散采购 竞争性</w:t>
      </w:r>
      <w:r>
        <w:rPr>
          <w:rFonts w:hint="eastAsia" w:ascii="宋体" w:hAnsi="宋体" w:cs="宋体"/>
          <w:color w:val="auto"/>
          <w:sz w:val="24"/>
          <w:szCs w:val="32"/>
          <w:highlight w:val="none"/>
          <w:lang w:eastAsia="zh-CN"/>
        </w:rPr>
        <w:t>磋商</w:t>
      </w:r>
      <w:r>
        <w:rPr>
          <w:rFonts w:hint="eastAsia" w:ascii="宋体" w:hAnsi="宋体" w:eastAsia="宋体" w:cs="宋体"/>
          <w:color w:val="auto"/>
          <w:sz w:val="24"/>
          <w:szCs w:val="32"/>
          <w:highlight w:val="none"/>
        </w:rPr>
        <w:t>。</w:t>
      </w:r>
    </w:p>
    <w:p>
      <w:pPr>
        <w:pStyle w:val="4"/>
        <w:spacing w:line="500" w:lineRule="exact"/>
        <w:jc w:val="both"/>
        <w:rPr>
          <w:rFonts w:hint="eastAsia" w:ascii="宋体" w:hAnsi="宋体" w:eastAsia="宋体" w:cs="宋体"/>
          <w:color w:val="auto"/>
          <w:sz w:val="24"/>
          <w:szCs w:val="24"/>
          <w:highlight w:val="none"/>
          <w:lang w:val="en-US" w:eastAsia="zh-CN"/>
        </w:rPr>
      </w:pPr>
      <w:bookmarkStart w:id="7" w:name="_Toc465084021"/>
      <w:r>
        <w:rPr>
          <w:rFonts w:hint="eastAsia" w:ascii="宋体" w:hAnsi="宋体" w:eastAsia="宋体" w:cs="宋体"/>
          <w:color w:val="auto"/>
          <w:sz w:val="24"/>
          <w:szCs w:val="24"/>
          <w:highlight w:val="none"/>
          <w:lang w:val="en-US" w:eastAsia="zh-CN"/>
        </w:rPr>
        <w:t>四、投标人资格要</w:t>
      </w:r>
      <w:bookmarkEnd w:id="7"/>
      <w:r>
        <w:rPr>
          <w:rFonts w:hint="eastAsia" w:ascii="宋体" w:hAnsi="宋体" w:eastAsia="宋体" w:cs="宋体"/>
          <w:color w:val="auto"/>
          <w:sz w:val="24"/>
          <w:szCs w:val="24"/>
          <w:highlight w:val="none"/>
          <w:lang w:val="en-US" w:eastAsia="zh-CN"/>
        </w:rPr>
        <w:t>求</w:t>
      </w:r>
    </w:p>
    <w:p>
      <w:pPr>
        <w:spacing w:line="360" w:lineRule="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（一）一般资格条件</w:t>
      </w:r>
    </w:p>
    <w:p>
      <w:pPr>
        <w:spacing w:line="360" w:lineRule="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①具有独立承担民事责任的能力；</w:t>
      </w:r>
    </w:p>
    <w:p>
      <w:pPr>
        <w:spacing w:line="360" w:lineRule="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②具有良好的商业信誉和健全的财务会计制度；</w:t>
      </w:r>
    </w:p>
    <w:p>
      <w:pPr>
        <w:spacing w:line="360" w:lineRule="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③具有履行合同所必须的设备和专业技术能力；</w:t>
      </w:r>
    </w:p>
    <w:p>
      <w:pPr>
        <w:spacing w:line="360" w:lineRule="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④有依法缴纳税收和社会保障资金的良好记录；</w:t>
      </w:r>
    </w:p>
    <w:p>
      <w:pPr>
        <w:spacing w:line="360" w:lineRule="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⑤参加政府采购活动近三年内，在经营活动中没有重大违纪记录；</w:t>
      </w:r>
    </w:p>
    <w:p>
      <w:pPr>
        <w:spacing w:line="360" w:lineRule="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⑥法律、行政法规规定的其他条件</w:t>
      </w:r>
    </w:p>
    <w:p>
      <w:pPr>
        <w:spacing w:line="360" w:lineRule="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（二）特定资格条件</w:t>
      </w:r>
    </w:p>
    <w:p>
      <w:pPr>
        <w:spacing w:line="360" w:lineRule="auto"/>
        <w:ind w:firstLine="480" w:firstLineChars="200"/>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无。</w:t>
      </w:r>
    </w:p>
    <w:p>
      <w:pPr>
        <w:spacing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u w:val="single"/>
          <w:lang w:val="en-US" w:eastAsia="zh-CN" w:bidi="ar-SA"/>
        </w:rPr>
        <w:t>说明：</w:t>
      </w:r>
      <w:r>
        <w:rPr>
          <w:rFonts w:hint="eastAsia" w:ascii="宋体" w:hAnsi="宋体" w:cs="宋体"/>
          <w:b w:val="0"/>
          <w:color w:val="auto"/>
          <w:kern w:val="2"/>
          <w:sz w:val="24"/>
          <w:szCs w:val="24"/>
          <w:highlight w:val="none"/>
          <w:u w:val="single"/>
          <w:lang w:val="en-US" w:eastAsia="zh-CN" w:bidi="ar-SA"/>
        </w:rPr>
        <w:t>上述证明材料须在投标文件中准备复印件加盖公章，</w:t>
      </w:r>
      <w:bookmarkStart w:id="8" w:name="_Toc19389"/>
      <w:r>
        <w:rPr>
          <w:rFonts w:hint="eastAsia" w:ascii="宋体" w:hAnsi="宋体" w:cs="宋体"/>
          <w:b w:val="0"/>
          <w:color w:val="auto"/>
          <w:kern w:val="2"/>
          <w:sz w:val="24"/>
          <w:szCs w:val="24"/>
          <w:highlight w:val="none"/>
          <w:u w:val="single"/>
          <w:lang w:val="en-US" w:eastAsia="zh-CN" w:bidi="ar-SA"/>
        </w:rPr>
        <w:t>原件开标现场备查</w:t>
      </w:r>
      <w:bookmarkEnd w:id="8"/>
      <w:r>
        <w:rPr>
          <w:rFonts w:hint="eastAsia" w:ascii="宋体" w:hAnsi="宋体" w:cs="宋体"/>
          <w:b w:val="0"/>
          <w:color w:val="auto"/>
          <w:kern w:val="2"/>
          <w:sz w:val="24"/>
          <w:szCs w:val="24"/>
          <w:highlight w:val="none"/>
          <w:u w:val="single"/>
          <w:lang w:val="en-US" w:eastAsia="zh-CN" w:bidi="ar-SA"/>
        </w:rPr>
        <w:t>。</w:t>
      </w:r>
    </w:p>
    <w:p>
      <w:pPr>
        <w:pStyle w:val="4"/>
        <w:spacing w:line="5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五、投标有关说明</w:t>
      </w:r>
    </w:p>
    <w:p>
      <w:pPr>
        <w:adjustRightInd w:val="0"/>
        <w:snapToGrid w:val="0"/>
        <w:spacing w:line="360" w:lineRule="auto"/>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报名</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8:00-12：00、14:00-</w:t>
      </w:r>
      <w:r>
        <w:rPr>
          <w:rFonts w:hint="eastAsia" w:ascii="宋体" w:hAnsi="宋体" w:eastAsia="宋体" w:cs="宋体"/>
          <w:color w:val="auto"/>
          <w:sz w:val="24"/>
          <w:szCs w:val="24"/>
          <w:highlight w:val="none"/>
        </w:rPr>
        <w:t>17:00（</w:t>
      </w:r>
      <w:r>
        <w:rPr>
          <w:rFonts w:hint="eastAsia" w:ascii="宋体" w:hAnsi="宋体" w:cs="宋体"/>
          <w:color w:val="auto"/>
          <w:sz w:val="24"/>
          <w:szCs w:val="24"/>
          <w:highlight w:val="none"/>
          <w:lang w:eastAsia="zh-CN"/>
        </w:rPr>
        <w:t>工作日，</w:t>
      </w:r>
      <w:r>
        <w:rPr>
          <w:rFonts w:hint="eastAsia" w:ascii="宋体" w:hAnsi="宋体" w:eastAsia="宋体" w:cs="宋体"/>
          <w:color w:val="auto"/>
          <w:sz w:val="24"/>
          <w:szCs w:val="24"/>
          <w:highlight w:val="none"/>
        </w:rPr>
        <w:t>工作时间）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1）现场报名：</w:t>
      </w:r>
      <w:r>
        <w:rPr>
          <w:rFonts w:hint="eastAsia" w:ascii="宋体" w:hAnsi="宋体" w:eastAsia="宋体" w:cs="宋体"/>
          <w:color w:val="auto"/>
          <w:sz w:val="24"/>
          <w:szCs w:val="24"/>
          <w:highlight w:val="none"/>
        </w:rPr>
        <w:t>到重庆医科大学附属康复医院大公馆院区行政办公区三楼招采办（重庆市九龙坡区谢家湾文化七村50号5号楼三楼）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报名提供：营业执照</w:t>
      </w:r>
      <w:r>
        <w:rPr>
          <w:rFonts w:hint="eastAsia" w:ascii="宋体" w:hAnsi="宋体" w:eastAsia="宋体" w:cs="宋体"/>
          <w:color w:val="auto"/>
          <w:sz w:val="24"/>
          <w:szCs w:val="24"/>
          <w:highlight w:val="none"/>
          <w:lang w:val="en-US" w:eastAsia="zh-CN"/>
        </w:rPr>
        <w:t>复印件加盖公章</w:t>
      </w:r>
      <w:r>
        <w:rPr>
          <w:rFonts w:hint="eastAsia" w:ascii="宋体" w:hAnsi="宋体" w:cs="宋体"/>
          <w:color w:val="auto"/>
          <w:sz w:val="24"/>
          <w:szCs w:val="24"/>
          <w:highlight w:val="none"/>
          <w:lang w:val="en-US" w:eastAsia="zh-CN"/>
        </w:rPr>
        <w:t>，现场填写报名表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2）线上报名：</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"mailto:下载报名表填写并加盖公章，和营业执照复印件加盖公章扫描件一并，在上述规定时间范围内，发送至邮箱296116331@qq.com。"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下载报名表填写并加盖公章，和营业执照复印件加盖公章扫描件一并，在上述规定时间范围内，发送至邮箱296116331@qq.com</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fldChar w:fldCharType="end"/>
      </w:r>
    </w:p>
    <w:p>
      <w:pPr>
        <w:adjustRightInd w:val="0"/>
        <w:snapToGrid w:val="0"/>
        <w:spacing w:line="360" w:lineRule="auto"/>
        <w:ind w:firstLine="542" w:firstLineChars="225"/>
        <w:rPr>
          <w:rFonts w:hint="default" w:ascii="宋体" w:hAnsi="宋体" w:cs="宋体"/>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响应文件提交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8:30 —9:00</w:t>
      </w:r>
    </w:p>
    <w:p>
      <w:pPr>
        <w:adjustRightInd w:val="0"/>
        <w:snapToGrid w:val="0"/>
        <w:spacing w:line="360" w:lineRule="auto"/>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联系人</w:t>
      </w:r>
      <w:r>
        <w:rPr>
          <w:rFonts w:hint="eastAsia" w:ascii="宋体" w:hAnsi="宋体" w:eastAsia="宋体" w:cs="宋体"/>
          <w:color w:val="auto"/>
          <w:sz w:val="24"/>
          <w:szCs w:val="24"/>
          <w:highlight w:val="none"/>
        </w:rPr>
        <w:t xml:space="preserve">：袁老师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联系电话：023-68087680。</w:t>
      </w:r>
    </w:p>
    <w:p>
      <w:pPr>
        <w:adjustRightInd w:val="0"/>
        <w:snapToGrid w:val="0"/>
        <w:spacing w:line="360" w:lineRule="auto"/>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招标时间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日 </w:t>
      </w:r>
      <w:r>
        <w:rPr>
          <w:rFonts w:hint="eastAsia" w:ascii="宋体" w:hAnsi="宋体" w:cs="宋体"/>
          <w:color w:val="auto"/>
          <w:sz w:val="24"/>
          <w:szCs w:val="24"/>
          <w:highlight w:val="none"/>
          <w:lang w:val="en-US" w:eastAsia="zh-CN"/>
        </w:rPr>
        <w:t xml:space="preserve"> 9:00 </w:t>
      </w:r>
      <w:r>
        <w:rPr>
          <w:rFonts w:hint="eastAsia" w:ascii="宋体" w:hAnsi="宋体" w:eastAsia="宋体" w:cs="宋体"/>
          <w:color w:val="auto"/>
          <w:sz w:val="24"/>
          <w:szCs w:val="24"/>
          <w:highlight w:val="none"/>
        </w:rPr>
        <w:t xml:space="preserve"> </w:t>
      </w:r>
    </w:p>
    <w:p>
      <w:pPr>
        <w:adjustRightInd w:val="0"/>
        <w:snapToGrid w:val="0"/>
        <w:spacing w:line="360" w:lineRule="auto"/>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招标地点</w:t>
      </w:r>
      <w:r>
        <w:rPr>
          <w:rFonts w:hint="eastAsia" w:ascii="宋体" w:hAnsi="宋体" w:eastAsia="宋体" w:cs="宋体"/>
          <w:color w:val="auto"/>
          <w:sz w:val="24"/>
          <w:szCs w:val="24"/>
          <w:highlight w:val="none"/>
        </w:rPr>
        <w:t>：重庆医科大学附属康复医院大公馆院区行政办公区三楼会议室。</w:t>
      </w:r>
    </w:p>
    <w:p>
      <w:pPr>
        <w:adjustRightInd w:val="0"/>
        <w:snapToGrid w:val="0"/>
        <w:spacing w:line="360" w:lineRule="auto"/>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投标保证金</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无</w:t>
      </w:r>
    </w:p>
    <w:p>
      <w:pPr>
        <w:adjustRightInd w:val="0"/>
        <w:snapToGrid w:val="0"/>
        <w:spacing w:line="360" w:lineRule="auto"/>
        <w:ind w:firstLine="542" w:firstLineChars="2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本项目不接受联合体投标</w:t>
      </w:r>
      <w:r>
        <w:rPr>
          <w:rFonts w:hint="eastAsia" w:ascii="宋体" w:hAnsi="宋体" w:cs="宋体"/>
          <w:b/>
          <w:color w:val="auto"/>
          <w:sz w:val="24"/>
          <w:szCs w:val="24"/>
          <w:highlight w:val="none"/>
          <w:lang w:eastAsia="zh-CN"/>
        </w:rPr>
        <w:t>，不得转包或分包</w:t>
      </w:r>
      <w:r>
        <w:rPr>
          <w:rFonts w:hint="eastAsia" w:ascii="宋体" w:hAnsi="宋体" w:eastAsia="宋体" w:cs="宋体"/>
          <w:b/>
          <w:color w:val="auto"/>
          <w:sz w:val="24"/>
          <w:szCs w:val="24"/>
          <w:highlight w:val="none"/>
        </w:rPr>
        <w:t>。</w:t>
      </w:r>
    </w:p>
    <w:p>
      <w:pPr>
        <w:adjustRightInd w:val="0"/>
        <w:snapToGrid w:val="0"/>
        <w:spacing w:line="360" w:lineRule="auto"/>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无效谈判</w:t>
      </w:r>
      <w:r>
        <w:rPr>
          <w:rFonts w:hint="eastAsia" w:ascii="宋体" w:hAnsi="宋体" w:eastAsia="宋体" w:cs="宋体"/>
          <w:color w:val="auto"/>
          <w:sz w:val="24"/>
          <w:szCs w:val="24"/>
          <w:highlight w:val="none"/>
        </w:rPr>
        <w:t>：</w:t>
      </w:r>
    </w:p>
    <w:p>
      <w:pPr>
        <w:adjustRightInd w:val="0"/>
        <w:snapToGrid w:val="0"/>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供应商发生以下条款情况之一者，视为无效谈判，其响应文件将被拒绝：</w:t>
      </w:r>
    </w:p>
    <w:p>
      <w:pPr>
        <w:adjustRightInd w:val="0"/>
        <w:snapToGrid w:val="0"/>
        <w:spacing w:line="360" w:lineRule="auto"/>
        <w:ind w:firstLine="700" w:firstLineChars="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（1）不符合规定的资格条件；</w:t>
      </w:r>
    </w:p>
    <w:p>
      <w:pPr>
        <w:adjustRightInd w:val="0"/>
        <w:snapToGrid w:val="0"/>
        <w:spacing w:line="360" w:lineRule="auto"/>
        <w:ind w:firstLine="700" w:firstLineChars="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（2）法定代表人或其授权代表未参加谈判；</w:t>
      </w:r>
    </w:p>
    <w:p>
      <w:pPr>
        <w:adjustRightInd w:val="0"/>
        <w:snapToGrid w:val="0"/>
        <w:spacing w:line="360" w:lineRule="auto"/>
        <w:ind w:firstLine="700" w:firstLineChars="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（3）供应商未按照医院采购文件的要求缴纳</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保证金</w:t>
      </w:r>
      <w:r>
        <w:rPr>
          <w:rFonts w:hint="eastAsia" w:ascii="宋体" w:hAnsi="宋体" w:cs="宋体"/>
          <w:color w:val="auto"/>
          <w:sz w:val="24"/>
          <w:szCs w:val="24"/>
          <w:highlight w:val="none"/>
          <w:lang w:eastAsia="zh-CN"/>
        </w:rPr>
        <w:t>（若有）</w:t>
      </w:r>
      <w:r>
        <w:rPr>
          <w:rFonts w:hint="eastAsia" w:ascii="宋体" w:hAnsi="宋体" w:eastAsia="宋体" w:cs="宋体"/>
          <w:color w:val="auto"/>
          <w:sz w:val="24"/>
          <w:szCs w:val="24"/>
          <w:highlight w:val="none"/>
        </w:rPr>
        <w:t>；</w:t>
      </w:r>
    </w:p>
    <w:p>
      <w:pPr>
        <w:adjustRightInd w:val="0"/>
        <w:snapToGrid w:val="0"/>
        <w:spacing w:line="360" w:lineRule="auto"/>
        <w:ind w:firstLine="700" w:firstLineChars="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（4）响应文件不按规定签字、盖章；</w:t>
      </w:r>
    </w:p>
    <w:p>
      <w:pPr>
        <w:adjustRightInd w:val="0"/>
        <w:snapToGrid w:val="0"/>
        <w:spacing w:line="360" w:lineRule="auto"/>
        <w:ind w:firstLine="700" w:firstLineChars="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（5）供应商响应文件内容有与国家现行法律法规相违背的内容，或附有采购人无法接受的条件。</w:t>
      </w:r>
    </w:p>
    <w:p>
      <w:pPr>
        <w:adjustRightInd w:val="0"/>
        <w:snapToGrid w:val="0"/>
        <w:spacing w:line="360" w:lineRule="auto"/>
        <w:ind w:firstLine="704" w:firstLineChars="29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应予废标的情形：如</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（1）出现影响采购公正的违法违纪行为；</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（2）供应商报价不合理；</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（4）其他经谈判小组一致认定应予废标的情形。</w:t>
      </w:r>
    </w:p>
    <w:p>
      <w:pPr>
        <w:adjustRightInd w:val="0"/>
        <w:snapToGrid w:val="0"/>
        <w:spacing w:line="360" w:lineRule="auto"/>
        <w:ind w:firstLine="723" w:firstLineChars="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其他说明</w:t>
      </w:r>
      <w:r>
        <w:rPr>
          <w:rFonts w:hint="eastAsia" w:ascii="宋体" w:hAnsi="宋体" w:eastAsia="宋体" w:cs="宋体"/>
          <w:color w:val="auto"/>
          <w:sz w:val="24"/>
          <w:szCs w:val="24"/>
          <w:highlight w:val="none"/>
        </w:rPr>
        <w:t>：</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（1）参与投标的供应商应承担其编制响应文件与递交响应文件所涉及的一切费用，不论谈判结果如何，采购人在任何情况下无义务也无责任承担这些费用。</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（2）谈判有效期：响应文件及有关承诺文件有效期为谈判开始时间起90天。</w:t>
      </w:r>
    </w:p>
    <w:p>
      <w:pPr>
        <w:adjustRightInd w:val="0"/>
        <w:snapToGrid w:val="0"/>
        <w:spacing w:line="360" w:lineRule="auto"/>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（3）响应文件一式四份，其中正本一份，副本三份，副本可为正本的复印件，应与正本一致，如出现不一致情况以正本为准。</w:t>
      </w:r>
      <w:r>
        <w:rPr>
          <w:rFonts w:hint="eastAsia" w:ascii="宋体" w:hAnsi="宋体" w:cs="宋体"/>
          <w:color w:val="auto"/>
          <w:sz w:val="24"/>
          <w:szCs w:val="24"/>
          <w:highlight w:val="none"/>
          <w:lang w:eastAsia="zh-CN"/>
        </w:rPr>
        <w:t>响应文件须每页加盖公章。</w:t>
      </w:r>
      <w:r>
        <w:rPr>
          <w:rFonts w:hint="eastAsia" w:ascii="宋体" w:hAnsi="宋体" w:cs="宋体"/>
          <w:color w:val="auto"/>
          <w:sz w:val="24"/>
          <w:szCs w:val="24"/>
          <w:highlight w:val="none"/>
          <w:lang w:val="en-US" w:eastAsia="zh-CN"/>
        </w:rPr>
        <w:t>封面标明正副本。</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响应文件的正本、副本须进行密封。密封包装上注明项目名称、供应商名称。信封的封口应加盖供应商公章或法人授权代表签字。</w:t>
      </w:r>
      <w:r>
        <w:rPr>
          <w:rFonts w:hint="eastAsia" w:ascii="宋体" w:hAnsi="宋体" w:eastAsia="宋体" w:cs="宋体"/>
          <w:color w:val="auto"/>
          <w:sz w:val="24"/>
          <w:szCs w:val="24"/>
          <w:highlight w:val="none"/>
        </w:rPr>
        <w:t xml:space="preserve"> </w:t>
      </w:r>
    </w:p>
    <w:p>
      <w:pPr>
        <w:adjustRightInd w:val="0"/>
        <w:snapToGrid w:val="0"/>
        <w:spacing w:line="360" w:lineRule="auto"/>
        <w:ind w:firstLine="720" w:firstLineChars="300"/>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t>（5）投标人无论是否中标，投标人递交的投标文件均不退还。</w:t>
      </w:r>
      <w:bookmarkStart w:id="9" w:name="_Toc89868482"/>
    </w:p>
    <w:bookmarkEnd w:id="9"/>
    <w:p>
      <w:pPr>
        <w:pStyle w:val="4"/>
        <w:jc w:val="both"/>
        <w:rPr>
          <w:rFonts w:hint="eastAsia" w:asciiTheme="minorEastAsia" w:hAnsiTheme="minorEastAsia" w:eastAsiaTheme="minorEastAsia" w:cstheme="minorEastAsia"/>
          <w:color w:val="auto"/>
          <w:sz w:val="24"/>
          <w:szCs w:val="24"/>
          <w:highlight w:val="none"/>
        </w:rPr>
      </w:pPr>
      <w:bookmarkStart w:id="10" w:name="_Toc15924"/>
      <w:bookmarkStart w:id="11" w:name="_Toc533845309"/>
      <w:bookmarkStart w:id="12" w:name="_Toc5116"/>
      <w:bookmarkStart w:id="13" w:name="_Toc32715"/>
      <w:bookmarkStart w:id="14" w:name="_Toc465084029"/>
    </w:p>
    <w:p>
      <w:pPr>
        <w:rPr>
          <w:rFonts w:hint="eastAsia"/>
        </w:rPr>
      </w:pPr>
    </w:p>
    <w:p>
      <w:pPr>
        <w:pStyle w:val="3"/>
        <w:spacing w:beforeLines="0" w:afterLines="0" w:line="360" w:lineRule="auto"/>
        <w:jc w:val="center"/>
        <w:rPr>
          <w:rFonts w:hint="eastAsia"/>
        </w:rPr>
      </w:pPr>
      <w:r>
        <w:rPr>
          <w:rFonts w:hint="eastAsia" w:ascii="宋体" w:hAnsi="宋体" w:eastAsia="宋体" w:cs="宋体"/>
          <w:b/>
          <w:bCs/>
          <w:color w:val="auto"/>
          <w:sz w:val="28"/>
          <w:szCs w:val="28"/>
          <w:highlight w:val="none"/>
        </w:rPr>
        <w:t xml:space="preserve">第二篇 </w:t>
      </w:r>
      <w:r>
        <w:rPr>
          <w:rFonts w:hint="eastAsia" w:ascii="宋体" w:hAnsi="宋体" w:eastAsia="宋体" w:cs="宋体"/>
          <w:b/>
          <w:bCs/>
          <w:color w:val="auto"/>
          <w:sz w:val="28"/>
          <w:szCs w:val="28"/>
          <w:highlight w:val="none"/>
          <w:lang w:val="en-US" w:eastAsia="zh-CN"/>
        </w:rPr>
        <w:t>项目</w:t>
      </w:r>
      <w:bookmarkStart w:id="15" w:name="_Toc533845304"/>
      <w:r>
        <w:rPr>
          <w:rFonts w:hint="eastAsia" w:ascii="宋体" w:hAnsi="宋体" w:eastAsia="宋体" w:cs="宋体"/>
          <w:b/>
          <w:bCs/>
          <w:strike w:val="0"/>
          <w:dstrike w:val="0"/>
          <w:color w:val="auto"/>
          <w:sz w:val="28"/>
          <w:szCs w:val="28"/>
          <w:highlight w:val="none"/>
          <w:lang w:val="en-US" w:eastAsia="zh-CN"/>
        </w:rPr>
        <w:t>服务</w:t>
      </w:r>
      <w:r>
        <w:rPr>
          <w:rFonts w:hint="eastAsia" w:ascii="宋体" w:hAnsi="宋体" w:eastAsia="宋体" w:cs="宋体"/>
          <w:b/>
          <w:bCs/>
          <w:color w:val="auto"/>
          <w:sz w:val="28"/>
          <w:szCs w:val="28"/>
          <w:highlight w:val="none"/>
          <w:lang w:val="en-US" w:eastAsia="zh-CN"/>
        </w:rPr>
        <w:t>要求</w:t>
      </w:r>
      <w:bookmarkEnd w:id="15"/>
    </w:p>
    <w:bookmarkEnd w:id="10"/>
    <w:bookmarkEnd w:id="11"/>
    <w:bookmarkEnd w:id="12"/>
    <w:bookmarkEnd w:id="13"/>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总体</w:t>
      </w:r>
      <w:r>
        <w:rPr>
          <w:rFonts w:hint="eastAsia" w:asciiTheme="minorEastAsia" w:hAnsiTheme="minorEastAsia" w:eastAsiaTheme="minorEastAsia" w:cstheme="minorEastAsia"/>
          <w:sz w:val="24"/>
          <w:szCs w:val="24"/>
          <w:lang w:val="en-US" w:eastAsia="zh-CN"/>
        </w:rPr>
        <w:t>要求：采购人的混合式课程</w:t>
      </w:r>
      <w:r>
        <w:rPr>
          <w:rFonts w:hint="eastAsia" w:asciiTheme="minorEastAsia" w:hAnsiTheme="minorEastAsia" w:cstheme="minorEastAsia"/>
          <w:sz w:val="24"/>
          <w:szCs w:val="24"/>
          <w:lang w:val="en-US" w:eastAsia="zh-CN"/>
        </w:rPr>
        <w:t>建设（《社区康复学》和《康复心理学》共2门课程）</w:t>
      </w:r>
      <w:r>
        <w:rPr>
          <w:rFonts w:hint="eastAsia" w:asciiTheme="minorEastAsia" w:hAnsiTheme="minorEastAsia" w:eastAsiaTheme="minorEastAsia" w:cstheme="minorEastAsia"/>
          <w:sz w:val="24"/>
          <w:szCs w:val="24"/>
          <w:lang w:val="en-US" w:eastAsia="zh-CN"/>
        </w:rPr>
        <w:t>旨在推动采购人建设优质的</w:t>
      </w:r>
      <w:r>
        <w:rPr>
          <w:rFonts w:hint="eastAsia" w:asciiTheme="minorEastAsia" w:hAnsiTheme="minorEastAsia" w:cstheme="minorEastAsia"/>
          <w:sz w:val="24"/>
          <w:szCs w:val="24"/>
          <w:lang w:val="en-US" w:eastAsia="zh-CN"/>
        </w:rPr>
        <w:t>混合式</w:t>
      </w:r>
      <w:r>
        <w:rPr>
          <w:rFonts w:hint="eastAsia" w:asciiTheme="minorEastAsia" w:hAnsiTheme="minorEastAsia" w:eastAsiaTheme="minorEastAsia" w:cstheme="minorEastAsia"/>
          <w:sz w:val="24"/>
          <w:szCs w:val="24"/>
          <w:lang w:val="en-US" w:eastAsia="zh-CN"/>
        </w:rPr>
        <w:t>课程，丰富采购人的在线教育资源，遴选出</w:t>
      </w:r>
      <w:r>
        <w:rPr>
          <w:rFonts w:hint="eastAsia" w:asciiTheme="minorEastAsia" w:hAnsiTheme="minorEastAsia" w:cstheme="minorEastAsia"/>
          <w:sz w:val="24"/>
          <w:szCs w:val="24"/>
          <w:lang w:val="en-US" w:eastAsia="zh-CN"/>
        </w:rPr>
        <w:t>至</w:t>
      </w:r>
      <w:r>
        <w:rPr>
          <w:rFonts w:hint="eastAsia" w:asciiTheme="minorEastAsia" w:hAnsiTheme="minorEastAsia" w:eastAsiaTheme="minorEastAsia" w:cstheme="minorEastAsia"/>
          <w:sz w:val="24"/>
          <w:szCs w:val="24"/>
          <w:lang w:val="en-US" w:eastAsia="zh-CN"/>
        </w:rPr>
        <w:t>少一门优质课程参与校级、市级混合式课程评审。此次课程建设服务遵循重庆市教委、重庆医科大学对混合式课程的建设要求，要求整体课程具备混合式开发模式课程运行要求。</w:t>
      </w:r>
    </w:p>
    <w:p>
      <w:pPr>
        <w:tabs>
          <w:tab w:val="left" w:pos="720"/>
        </w:tabs>
        <w:adjustRightInd w:val="0"/>
        <w:snapToGrid w:val="0"/>
        <w:spacing w:line="360" w:lineRule="auto"/>
        <w:ind w:firstLine="480" w:firstLineChars="200"/>
        <w:rPr>
          <w:rFonts w:hint="default"/>
          <w:lang w:val="en-US" w:eastAsia="zh-CN"/>
        </w:rPr>
      </w:pPr>
      <w:r>
        <w:rPr>
          <w:rFonts w:hint="eastAsia" w:asciiTheme="minorEastAsia" w:hAnsiTheme="minorEastAsia" w:eastAsiaTheme="minorEastAsia" w:cstheme="minorEastAsia"/>
          <w:sz w:val="24"/>
          <w:szCs w:val="24"/>
          <w:lang w:val="en-US" w:eastAsia="zh-CN"/>
        </w:rPr>
        <w:t>2.项目负责人要求：指定专人与采购人对接、统筹安排课程建设各项相关事宜。</w:t>
      </w:r>
    </w:p>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.国家有强制性标准、规范的按照国家强制性标准、规范执行，无强制性标准的按照相关标准、规范执行。</w:t>
      </w:r>
    </w:p>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.建设内容</w:t>
      </w:r>
    </w:p>
    <w:tbl>
      <w:tblPr>
        <w:tblStyle w:val="19"/>
        <w:tblW w:w="9958" w:type="dxa"/>
        <w:tblInd w:w="0" w:type="dxa"/>
        <w:tblLayout w:type="fixed"/>
        <w:tblCellMar>
          <w:top w:w="0" w:type="dxa"/>
          <w:left w:w="108" w:type="dxa"/>
          <w:bottom w:w="0" w:type="dxa"/>
          <w:right w:w="108" w:type="dxa"/>
        </w:tblCellMar>
      </w:tblPr>
      <w:tblGrid>
        <w:gridCol w:w="936"/>
        <w:gridCol w:w="1726"/>
        <w:gridCol w:w="2516"/>
        <w:gridCol w:w="4780"/>
      </w:tblGrid>
      <w:tr>
        <w:tblPrEx>
          <w:tblCellMar>
            <w:top w:w="0" w:type="dxa"/>
            <w:left w:w="108" w:type="dxa"/>
            <w:bottom w:w="0" w:type="dxa"/>
            <w:right w:w="108" w:type="dxa"/>
          </w:tblCellMar>
        </w:tblPrEx>
        <w:trPr>
          <w:trHeight w:val="848" w:hRule="atLeast"/>
        </w:trPr>
        <w:tc>
          <w:tcPr>
            <w:tcW w:w="936" w:type="dxa"/>
            <w:tcBorders>
              <w:top w:val="single" w:color="auto" w:sz="8" w:space="0"/>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HAnsi" w:hAnsiTheme="minorHAnsi" w:eastAsiaTheme="minorHAnsi"/>
                <w:b/>
                <w:bCs/>
                <w:color w:val="000000"/>
                <w:kern w:val="0"/>
                <w:sz w:val="22"/>
                <w:szCs w:val="22"/>
              </w:rPr>
            </w:pPr>
            <w:r>
              <w:rPr>
                <w:rFonts w:hint="eastAsia" w:cs="宋体" w:asciiTheme="minorHAnsi" w:hAnsiTheme="minorHAnsi" w:eastAsiaTheme="minorHAnsi"/>
                <w:b/>
                <w:bCs/>
                <w:color w:val="000000"/>
                <w:kern w:val="0"/>
                <w:sz w:val="22"/>
                <w:szCs w:val="22"/>
              </w:rPr>
              <w:t>序号</w:t>
            </w:r>
          </w:p>
        </w:tc>
        <w:tc>
          <w:tcPr>
            <w:tcW w:w="1726"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hint="default" w:eastAsia="宋体" w:cs="宋体" w:asciiTheme="minorHAnsi" w:hAnsiTheme="minorHAnsi"/>
                <w:b/>
                <w:bCs/>
                <w:color w:val="000000"/>
                <w:kern w:val="0"/>
                <w:sz w:val="22"/>
                <w:szCs w:val="22"/>
                <w:lang w:val="en-US" w:eastAsia="zh-CN"/>
              </w:rPr>
            </w:pPr>
            <w:r>
              <w:rPr>
                <w:rFonts w:hint="eastAsia" w:eastAsia="宋体" w:cs="宋体" w:asciiTheme="minorHAnsi" w:hAnsiTheme="minorHAnsi"/>
                <w:b/>
                <w:bCs/>
                <w:color w:val="000000"/>
                <w:kern w:val="0"/>
                <w:sz w:val="22"/>
                <w:szCs w:val="22"/>
                <w:lang w:val="en-US" w:eastAsia="zh-CN"/>
              </w:rPr>
              <w:t>项目名称</w:t>
            </w:r>
          </w:p>
        </w:tc>
        <w:tc>
          <w:tcPr>
            <w:tcW w:w="2516" w:type="dxa"/>
            <w:tcBorders>
              <w:top w:val="single" w:color="000000" w:sz="8" w:space="0"/>
              <w:left w:val="nil"/>
              <w:bottom w:val="single" w:color="auto" w:sz="4" w:space="0"/>
              <w:right w:val="single" w:color="000000" w:sz="8" w:space="0"/>
            </w:tcBorders>
            <w:shd w:val="clear" w:color="auto" w:fill="auto"/>
            <w:vAlign w:val="center"/>
          </w:tcPr>
          <w:p>
            <w:pPr>
              <w:widowControl/>
              <w:jc w:val="center"/>
              <w:rPr>
                <w:rFonts w:cs="宋体" w:asciiTheme="minorHAnsi" w:hAnsiTheme="minorHAnsi" w:eastAsiaTheme="minorHAnsi"/>
                <w:b/>
                <w:bCs/>
                <w:color w:val="000000"/>
                <w:kern w:val="0"/>
                <w:sz w:val="20"/>
              </w:rPr>
            </w:pPr>
            <w:r>
              <w:rPr>
                <w:rFonts w:hint="eastAsia" w:cs="宋体" w:asciiTheme="minorHAnsi" w:hAnsiTheme="minorHAnsi" w:eastAsiaTheme="minorHAnsi"/>
                <w:b/>
                <w:bCs/>
                <w:color w:val="000000"/>
                <w:kern w:val="0"/>
                <w:sz w:val="20"/>
              </w:rPr>
              <w:t>项目情况</w:t>
            </w:r>
          </w:p>
        </w:tc>
        <w:tc>
          <w:tcPr>
            <w:tcW w:w="4780" w:type="dxa"/>
            <w:tcBorders>
              <w:top w:val="single" w:color="000000" w:sz="8" w:space="0"/>
              <w:left w:val="nil"/>
              <w:bottom w:val="single" w:color="auto" w:sz="4" w:space="0"/>
              <w:right w:val="single" w:color="000000" w:sz="8" w:space="0"/>
            </w:tcBorders>
            <w:shd w:val="clear" w:color="auto" w:fill="auto"/>
            <w:vAlign w:val="center"/>
          </w:tcPr>
          <w:p>
            <w:pPr>
              <w:widowControl/>
              <w:jc w:val="center"/>
              <w:rPr>
                <w:rFonts w:cs="宋体" w:asciiTheme="minorHAnsi" w:hAnsiTheme="minorHAnsi" w:eastAsiaTheme="minorHAnsi"/>
                <w:b/>
                <w:bCs/>
                <w:color w:val="000000"/>
                <w:kern w:val="0"/>
                <w:sz w:val="20"/>
              </w:rPr>
            </w:pPr>
            <w:r>
              <w:rPr>
                <w:rFonts w:hint="eastAsia" w:cs="宋体" w:asciiTheme="minorHAnsi" w:hAnsiTheme="minorHAnsi" w:eastAsiaTheme="minorHAnsi"/>
                <w:b/>
                <w:bCs/>
                <w:color w:val="000000"/>
                <w:kern w:val="0"/>
                <w:sz w:val="20"/>
              </w:rPr>
              <w:t>项目明细</w:t>
            </w:r>
          </w:p>
        </w:tc>
      </w:tr>
      <w:tr>
        <w:tblPrEx>
          <w:tblCellMar>
            <w:top w:w="0" w:type="dxa"/>
            <w:left w:w="108" w:type="dxa"/>
            <w:bottom w:w="0" w:type="dxa"/>
            <w:right w:w="108" w:type="dxa"/>
          </w:tblCellMar>
        </w:tblPrEx>
        <w:trPr>
          <w:trHeight w:val="848" w:hRule="atLeast"/>
        </w:trPr>
        <w:tc>
          <w:tcPr>
            <w:tcW w:w="936" w:type="dxa"/>
            <w:vMerge w:val="restart"/>
            <w:tcBorders>
              <w:top w:val="single" w:color="auto" w:sz="4" w:space="0"/>
              <w:left w:val="single" w:color="auto" w:sz="4" w:space="0"/>
              <w:bottom w:val="single" w:color="000000" w:sz="8" w:space="0"/>
              <w:right w:val="single" w:color="auto" w:sz="8" w:space="0"/>
            </w:tcBorders>
            <w:shd w:val="clear" w:color="auto" w:fill="auto"/>
            <w:noWrap/>
            <w:vAlign w:val="center"/>
          </w:tcPr>
          <w:p>
            <w:pPr>
              <w:widowControl/>
              <w:jc w:val="center"/>
              <w:rPr>
                <w:rFonts w:hint="eastAsia" w:cs="宋体" w:asciiTheme="minorHAnsi" w:hAnsiTheme="minorHAnsi" w:eastAsiaTheme="minorHAnsi"/>
                <w:color w:val="000000"/>
                <w:kern w:val="0"/>
                <w:sz w:val="20"/>
              </w:rPr>
            </w:pPr>
            <w:r>
              <w:rPr>
                <w:rFonts w:hint="eastAsia" w:cs="宋体" w:asciiTheme="minorHAnsi" w:hAnsiTheme="minorHAnsi" w:eastAsiaTheme="minorHAnsi"/>
                <w:color w:val="000000"/>
                <w:kern w:val="0"/>
                <w:sz w:val="20"/>
              </w:rPr>
              <w:t>1</w:t>
            </w:r>
          </w:p>
        </w:tc>
        <w:tc>
          <w:tcPr>
            <w:tcW w:w="172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rPr>
              <w:t>《社区康复学》和《康复心理学》混合式课程</w:t>
            </w:r>
            <w:r>
              <w:rPr>
                <w:rFonts w:hint="eastAsia" w:cs="宋体" w:asciiTheme="minorHAnsi" w:hAnsiTheme="minorHAnsi" w:eastAsiaTheme="minorHAnsi"/>
                <w:color w:val="000000"/>
                <w:kern w:val="0"/>
                <w:sz w:val="20"/>
                <w:lang w:val="en-US" w:eastAsia="zh-CN"/>
              </w:rPr>
              <w:t>建设及运行服务</w:t>
            </w:r>
          </w:p>
        </w:tc>
        <w:tc>
          <w:tcPr>
            <w:tcW w:w="2516"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慕课拍摄制作</w:t>
            </w:r>
          </w:p>
        </w:tc>
        <w:tc>
          <w:tcPr>
            <w:tcW w:w="4780" w:type="dxa"/>
            <w:tcBorders>
              <w:top w:val="single" w:color="auto" w:sz="4" w:space="0"/>
              <w:left w:val="nil"/>
              <w:bottom w:val="single" w:color="000000" w:sz="8" w:space="0"/>
              <w:right w:val="single" w:color="auto" w:sz="4" w:space="0"/>
            </w:tcBorders>
            <w:shd w:val="clear" w:color="auto" w:fill="auto"/>
            <w:vAlign w:val="center"/>
          </w:tcPr>
          <w:p>
            <w:pPr>
              <w:widowControl/>
              <w:jc w:val="center"/>
              <w:rPr>
                <w:rFonts w:hint="default"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根据课程建设计划，不少于500分钟</w:t>
            </w:r>
          </w:p>
        </w:tc>
      </w:tr>
      <w:tr>
        <w:tblPrEx>
          <w:tblCellMar>
            <w:top w:w="0" w:type="dxa"/>
            <w:left w:w="108" w:type="dxa"/>
            <w:bottom w:w="0" w:type="dxa"/>
            <w:right w:w="108" w:type="dxa"/>
          </w:tblCellMar>
        </w:tblPrEx>
        <w:trPr>
          <w:trHeight w:val="762" w:hRule="atLeast"/>
        </w:trPr>
        <w:tc>
          <w:tcPr>
            <w:tcW w:w="936"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HAnsi" w:hAnsiTheme="minorHAnsi" w:eastAsiaTheme="minorHAnsi"/>
                <w:color w:val="000000"/>
                <w:kern w:val="0"/>
                <w:sz w:val="22"/>
                <w:szCs w:val="22"/>
              </w:rPr>
            </w:pPr>
          </w:p>
        </w:tc>
        <w:tc>
          <w:tcPr>
            <w:tcW w:w="1726"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HAnsi" w:hAnsiTheme="minorHAnsi" w:eastAsiaTheme="minorHAnsi"/>
                <w:color w:val="000000"/>
                <w:kern w:val="0"/>
                <w:sz w:val="22"/>
                <w:szCs w:val="22"/>
              </w:rPr>
            </w:pPr>
          </w:p>
        </w:tc>
        <w:tc>
          <w:tcPr>
            <w:tcW w:w="2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课程实录视频</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课堂实录2堂课（45分钟），用以备赛</w:t>
            </w:r>
          </w:p>
        </w:tc>
      </w:tr>
      <w:tr>
        <w:tblPrEx>
          <w:tblCellMar>
            <w:top w:w="0" w:type="dxa"/>
            <w:left w:w="108" w:type="dxa"/>
            <w:bottom w:w="0" w:type="dxa"/>
            <w:right w:w="108" w:type="dxa"/>
          </w:tblCellMar>
        </w:tblPrEx>
        <w:trPr>
          <w:trHeight w:val="1017" w:hRule="atLeast"/>
        </w:trPr>
        <w:tc>
          <w:tcPr>
            <w:tcW w:w="936"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HAnsi" w:hAnsiTheme="minorHAnsi" w:eastAsiaTheme="minorHAnsi"/>
                <w:color w:val="000000"/>
                <w:kern w:val="0"/>
                <w:sz w:val="22"/>
                <w:szCs w:val="22"/>
              </w:rPr>
            </w:pPr>
          </w:p>
        </w:tc>
        <w:tc>
          <w:tcPr>
            <w:tcW w:w="1726"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HAnsi" w:hAnsiTheme="minorHAnsi" w:eastAsiaTheme="minorHAnsi"/>
                <w:color w:val="000000"/>
                <w:kern w:val="0"/>
                <w:sz w:val="22"/>
                <w:szCs w:val="22"/>
              </w:rPr>
            </w:pPr>
          </w:p>
        </w:tc>
        <w:tc>
          <w:tcPr>
            <w:tcW w:w="2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教师教学能力提升</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在课程建设前期、申报环节，提供1次专家从一流课程、课程思政、教学创新大赛的等方面进行指导培训</w:t>
            </w:r>
          </w:p>
        </w:tc>
      </w:tr>
      <w:tr>
        <w:tblPrEx>
          <w:tblCellMar>
            <w:top w:w="0" w:type="dxa"/>
            <w:left w:w="108" w:type="dxa"/>
            <w:bottom w:w="0" w:type="dxa"/>
            <w:right w:w="108" w:type="dxa"/>
          </w:tblCellMar>
        </w:tblPrEx>
        <w:trPr>
          <w:trHeight w:val="691" w:hRule="atLeast"/>
        </w:trPr>
        <w:tc>
          <w:tcPr>
            <w:tcW w:w="936"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HAnsi" w:hAnsiTheme="minorHAnsi" w:eastAsiaTheme="minorHAnsi"/>
                <w:color w:val="000000"/>
                <w:kern w:val="0"/>
                <w:sz w:val="22"/>
                <w:szCs w:val="22"/>
              </w:rPr>
            </w:pPr>
          </w:p>
        </w:tc>
        <w:tc>
          <w:tcPr>
            <w:tcW w:w="1726"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HAnsi" w:hAnsiTheme="minorHAnsi" w:eastAsiaTheme="minorHAnsi"/>
                <w:color w:val="000000"/>
                <w:kern w:val="0"/>
                <w:sz w:val="22"/>
                <w:szCs w:val="22"/>
              </w:rPr>
            </w:pPr>
          </w:p>
        </w:tc>
        <w:tc>
          <w:tcPr>
            <w:tcW w:w="2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课程建设服务</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按照课程需求，上传资料，设计课程版面，美化课程教学PPT</w:t>
            </w:r>
          </w:p>
        </w:tc>
      </w:tr>
      <w:tr>
        <w:tblPrEx>
          <w:tblCellMar>
            <w:top w:w="0" w:type="dxa"/>
            <w:left w:w="108" w:type="dxa"/>
            <w:bottom w:w="0" w:type="dxa"/>
            <w:right w:w="108" w:type="dxa"/>
          </w:tblCellMar>
        </w:tblPrEx>
        <w:trPr>
          <w:trHeight w:val="709" w:hRule="atLeast"/>
        </w:trPr>
        <w:tc>
          <w:tcPr>
            <w:tcW w:w="936" w:type="dxa"/>
            <w:vMerge w:val="continue"/>
            <w:tcBorders>
              <w:top w:val="nil"/>
              <w:left w:val="single" w:color="auto" w:sz="4" w:space="0"/>
              <w:bottom w:val="single" w:color="auto" w:sz="4" w:space="0"/>
              <w:right w:val="single" w:color="auto" w:sz="8" w:space="0"/>
            </w:tcBorders>
            <w:vAlign w:val="center"/>
          </w:tcPr>
          <w:p>
            <w:pPr>
              <w:widowControl/>
              <w:jc w:val="left"/>
              <w:rPr>
                <w:rFonts w:cs="宋体" w:asciiTheme="minorHAnsi" w:hAnsiTheme="minorHAnsi" w:eastAsiaTheme="minorHAnsi"/>
                <w:color w:val="000000"/>
                <w:kern w:val="0"/>
                <w:sz w:val="22"/>
                <w:szCs w:val="22"/>
              </w:rPr>
            </w:pPr>
          </w:p>
        </w:tc>
        <w:tc>
          <w:tcPr>
            <w:tcW w:w="1726"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HAnsi" w:hAnsiTheme="minorHAnsi" w:eastAsiaTheme="minorHAnsi"/>
                <w:color w:val="000000"/>
                <w:kern w:val="0"/>
                <w:sz w:val="22"/>
                <w:szCs w:val="22"/>
              </w:rPr>
            </w:pPr>
          </w:p>
        </w:tc>
        <w:tc>
          <w:tcPr>
            <w:tcW w:w="2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课程运行服务</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HAnsi" w:hAnsiTheme="minorHAnsi" w:eastAsiaTheme="minorHAnsi"/>
                <w:color w:val="000000"/>
                <w:kern w:val="0"/>
                <w:sz w:val="20"/>
                <w:lang w:val="en-US" w:eastAsia="zh-CN"/>
              </w:rPr>
            </w:pPr>
            <w:r>
              <w:rPr>
                <w:rFonts w:hint="eastAsia" w:cs="宋体" w:asciiTheme="minorHAnsi" w:hAnsiTheme="minorHAnsi" w:eastAsiaTheme="minorHAnsi"/>
                <w:color w:val="000000"/>
                <w:kern w:val="0"/>
                <w:sz w:val="20"/>
                <w:lang w:val="en-US" w:eastAsia="zh-CN"/>
              </w:rPr>
              <w:t>按照课程建设标准指定运行课程，优化诊改课程运行数据，课堂教学设计现场服务；提供课程运行数据，提供一流课程案例参考，协助进行各类比赛的运行与申报</w:t>
            </w:r>
          </w:p>
        </w:tc>
      </w:tr>
    </w:tbl>
    <w:p>
      <w:pPr>
        <w:pStyle w:val="17"/>
        <w:keepNext w:val="0"/>
        <w:keepLines w:val="0"/>
        <w:widowControl/>
        <w:numPr>
          <w:ilvl w:val="0"/>
          <w:numId w:val="0"/>
        </w:numPr>
        <w:suppressLineNumbers w:val="0"/>
        <w:spacing w:before="0" w:beforeAutospacing="0" w:after="0" w:afterAutospacing="0"/>
        <w:ind w:right="0" w:rightChars="0"/>
        <w:rPr>
          <w:rFonts w:hint="eastAsia"/>
          <w:lang w:val="en-US" w:eastAsia="zh-CN"/>
        </w:rPr>
      </w:pPr>
    </w:p>
    <w:p>
      <w:pPr>
        <w:pStyle w:val="17"/>
        <w:keepNext w:val="0"/>
        <w:keepLines w:val="0"/>
        <w:widowControl/>
        <w:numPr>
          <w:ilvl w:val="0"/>
          <w:numId w:val="0"/>
        </w:numPr>
        <w:suppressLineNumbers w:val="0"/>
        <w:spacing w:before="0" w:beforeAutospacing="0" w:after="0" w:afterAutospacing="0"/>
        <w:ind w:leftChars="200" w:right="0" w:rightChars="0"/>
      </w:pPr>
      <w:r>
        <w:rPr>
          <w:rFonts w:hint="eastAsia"/>
          <w:lang w:val="en-US" w:eastAsia="zh-CN"/>
        </w:rPr>
        <w:t>5.</w:t>
      </w:r>
      <w:r>
        <w:rPr>
          <w:rFonts w:hint="eastAsia"/>
          <w:lang w:eastAsia="zh-CN"/>
        </w:rPr>
        <w:t>技术服务</w:t>
      </w:r>
      <w:r>
        <w:t>要求</w:t>
      </w:r>
    </w:p>
    <w:tbl>
      <w:tblPr>
        <w:tblStyle w:val="1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7"/>
        <w:gridCol w:w="1715"/>
        <w:gridCol w:w="7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 w:hRule="atLeast"/>
        </w:trPr>
        <w:tc>
          <w:tcPr>
            <w:tcW w:w="1137" w:type="dxa"/>
            <w:tcBorders>
              <w:top w:val="single" w:color="000000" w:sz="4" w:space="0"/>
              <w:left w:val="single" w:color="000000" w:sz="4" w:space="0"/>
              <w:bottom w:val="single" w:color="000000" w:sz="4" w:space="0"/>
              <w:right w:val="single" w:color="000000" w:sz="4" w:space="0"/>
            </w:tcBorders>
            <w:noWrap w:val="0"/>
            <w:vAlign w:val="top"/>
          </w:tcPr>
          <w:p>
            <w:pPr>
              <w:topLinePunct/>
              <w:ind w:left="108"/>
              <w:jc w:val="center"/>
              <w:rPr>
                <w:rFonts w:hint="eastAsia" w:ascii="宋体" w:hAnsi="宋体" w:cs="宋体"/>
                <w:b/>
                <w:color w:val="000000"/>
                <w:sz w:val="20"/>
                <w:szCs w:val="20"/>
              </w:rPr>
            </w:pPr>
            <w:r>
              <w:rPr>
                <w:rFonts w:hint="eastAsia" w:ascii="宋体" w:hAnsi="宋体" w:cs="宋体"/>
                <w:b/>
                <w:color w:val="000000"/>
                <w:sz w:val="20"/>
                <w:szCs w:val="20"/>
              </w:rPr>
              <w:t>项目名称</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Fonts w:hint="eastAsia" w:ascii="宋体" w:hAnsi="宋体" w:cs="宋体"/>
                <w:b/>
                <w:color w:val="000000"/>
                <w:sz w:val="20"/>
                <w:szCs w:val="20"/>
              </w:rPr>
            </w:pPr>
            <w:r>
              <w:rPr>
                <w:rFonts w:hint="eastAsia" w:ascii="宋体" w:hAnsi="宋体" w:cs="宋体"/>
                <w:b/>
                <w:color w:val="000000"/>
                <w:sz w:val="20"/>
                <w:szCs w:val="20"/>
              </w:rPr>
              <w:t>内容</w:t>
            </w:r>
          </w:p>
        </w:tc>
        <w:tc>
          <w:tcPr>
            <w:tcW w:w="7003"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center"/>
              <w:rPr>
                <w:rFonts w:hint="eastAsia" w:ascii="宋体" w:hAnsi="宋体" w:cs="宋体"/>
                <w:b/>
                <w:color w:val="000000"/>
                <w:sz w:val="20"/>
                <w:szCs w:val="20"/>
              </w:rPr>
            </w:pPr>
            <w:r>
              <w:rPr>
                <w:rFonts w:hint="eastAsia" w:ascii="宋体" w:hAnsi="宋体" w:cs="宋体"/>
                <w:b/>
                <w:color w:val="000000"/>
                <w:sz w:val="20"/>
                <w:szCs w:val="20"/>
              </w:rPr>
              <w:t>技术规格和配置要求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1137" w:type="dxa"/>
            <w:vMerge w:val="restart"/>
            <w:tcBorders>
              <w:top w:val="single" w:color="000000" w:sz="4" w:space="0"/>
              <w:left w:val="single" w:color="000000" w:sz="4" w:space="0"/>
              <w:right w:val="single" w:color="000000" w:sz="4" w:space="0"/>
            </w:tcBorders>
            <w:noWrap w:val="0"/>
            <w:vAlign w:val="center"/>
          </w:tcPr>
          <w:p>
            <w:pPr>
              <w:topLinePunct/>
              <w:jc w:val="center"/>
              <w:rPr>
                <w:rStyle w:val="35"/>
                <w:rFonts w:hint="eastAsia" w:ascii="宋体" w:hAnsi="宋体" w:cs="宋体"/>
                <w:b/>
                <w:bCs/>
                <w:kern w:val="0"/>
                <w:sz w:val="20"/>
                <w:szCs w:val="20"/>
                <w:lang w:bidi="ne-NP"/>
              </w:rPr>
            </w:pPr>
            <w:r>
              <w:rPr>
                <w:rFonts w:hint="eastAsia" w:cs="宋体" w:asciiTheme="minorHAnsi" w:hAnsiTheme="minorHAnsi" w:eastAsiaTheme="minorHAnsi"/>
                <w:color w:val="000000"/>
                <w:kern w:val="0"/>
                <w:sz w:val="20"/>
                <w:szCs w:val="20"/>
              </w:rPr>
              <w:t>《社区康复学》和《康复心理学》混合式课程</w:t>
            </w:r>
            <w:r>
              <w:rPr>
                <w:rFonts w:hint="eastAsia" w:cs="宋体" w:asciiTheme="minorHAnsi" w:hAnsiTheme="minorHAnsi" w:eastAsiaTheme="minorHAnsi"/>
                <w:color w:val="000000"/>
                <w:kern w:val="0"/>
                <w:sz w:val="20"/>
                <w:szCs w:val="20"/>
                <w:lang w:val="en-US" w:eastAsia="zh-CN"/>
              </w:rPr>
              <w:t>建设及运行服务</w:t>
            </w:r>
          </w:p>
        </w:tc>
        <w:tc>
          <w:tcPr>
            <w:tcW w:w="1715" w:type="dxa"/>
            <w:vMerge w:val="restart"/>
            <w:tcBorders>
              <w:top w:val="single" w:color="000000" w:sz="4" w:space="0"/>
              <w:left w:val="single" w:color="000000" w:sz="4" w:space="0"/>
              <w:right w:val="single" w:color="000000" w:sz="4" w:space="0"/>
            </w:tcBorders>
            <w:noWrap w:val="0"/>
            <w:vAlign w:val="center"/>
          </w:tcPr>
          <w:p>
            <w:pPr>
              <w:topLinePunct/>
              <w:ind w:left="108"/>
              <w:jc w:val="center"/>
              <w:rPr>
                <w:rStyle w:val="35"/>
                <w:rFonts w:hint="eastAsia" w:ascii="宋体" w:hAnsi="宋体" w:cs="宋体"/>
                <w:b/>
                <w:bCs/>
                <w:kern w:val="0"/>
                <w:sz w:val="20"/>
                <w:szCs w:val="20"/>
                <w:lang w:bidi="ne-NP"/>
              </w:rPr>
            </w:pPr>
            <w:r>
              <w:rPr>
                <w:rFonts w:hint="eastAsia" w:ascii="宋体" w:hAnsi="宋体" w:eastAsia="宋体" w:cs="宋体"/>
                <w:i w:val="0"/>
                <w:iCs w:val="0"/>
                <w:color w:val="000000"/>
                <w:kern w:val="0"/>
                <w:sz w:val="20"/>
                <w:szCs w:val="20"/>
                <w:u w:val="none"/>
                <w:lang w:val="en-US" w:eastAsia="zh-CN" w:bidi="ar"/>
              </w:rPr>
              <w:t>慕课拍摄制作</w:t>
            </w:r>
          </w:p>
        </w:tc>
        <w:tc>
          <w:tcPr>
            <w:tcW w:w="7003"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left"/>
              <w:rPr>
                <w:rFonts w:hint="eastAsia" w:ascii="宋体" w:hAnsi="宋体" w:cs="宋体"/>
                <w:b/>
                <w:bCs/>
                <w:sz w:val="20"/>
                <w:szCs w:val="20"/>
              </w:rPr>
            </w:pPr>
            <w:r>
              <w:rPr>
                <w:rFonts w:hint="eastAsia" w:ascii="宋体" w:hAnsi="宋体" w:cs="宋体"/>
                <w:b/>
                <w:bCs/>
                <w:sz w:val="20"/>
                <w:szCs w:val="20"/>
              </w:rPr>
              <w:t>课程整体设计要求</w:t>
            </w:r>
          </w:p>
          <w:p>
            <w:pPr>
              <w:topLinePunct/>
              <w:ind w:left="108"/>
              <w:jc w:val="left"/>
              <w:rPr>
                <w:rStyle w:val="35"/>
                <w:rFonts w:hint="eastAsia" w:ascii="宋体" w:hAnsi="宋体" w:cs="宋体"/>
                <w:b/>
                <w:bCs/>
                <w:kern w:val="0"/>
                <w:sz w:val="20"/>
                <w:szCs w:val="20"/>
                <w:lang w:bidi="ne-NP"/>
              </w:rPr>
            </w:pPr>
            <w:r>
              <w:rPr>
                <w:rFonts w:hint="eastAsia" w:ascii="宋体" w:hAnsi="宋体" w:cs="宋体"/>
                <w:sz w:val="20"/>
                <w:szCs w:val="20"/>
              </w:rPr>
              <w:t>制作方了解高校本科教学规律，具备课程设计的能力，有专业人员辅助老师进行课程教学设计、课件设计。课程设计围绕教学目标、教学内容、组织实施和多元评价需求进行整体规划，教学方法、教学过程、教学评价等设计合理。 视频制作公司必须在课程视频制作过程中，为教学团队提供课程制作及运行的相关培训服务。每门课程有对应课程顾问，为教学团队提供如课程建设学习培训、咨询，以及包括课程背景、课程目标、设计原则、学时学分分配、翻转课堂设计、章节脚本设计等与课程建设相关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1137" w:type="dxa"/>
            <w:vMerge w:val="continue"/>
            <w:tcBorders>
              <w:left w:val="single" w:color="000000" w:sz="4" w:space="0"/>
              <w:right w:val="single" w:color="000000" w:sz="4" w:space="0"/>
            </w:tcBorders>
            <w:noWrap w:val="0"/>
            <w:vAlign w:val="center"/>
          </w:tcPr>
          <w:p>
            <w:pPr>
              <w:topLinePunct/>
              <w:jc w:val="center"/>
              <w:rPr>
                <w:rFonts w:hint="eastAsia" w:cs="宋体" w:asciiTheme="minorHAnsi" w:hAnsiTheme="minorHAnsi" w:eastAsiaTheme="minorHAnsi"/>
                <w:color w:val="000000"/>
                <w:kern w:val="0"/>
                <w:sz w:val="20"/>
                <w:szCs w:val="20"/>
              </w:rPr>
            </w:pPr>
          </w:p>
        </w:tc>
        <w:tc>
          <w:tcPr>
            <w:tcW w:w="1715" w:type="dxa"/>
            <w:vMerge w:val="continue"/>
            <w:tcBorders>
              <w:left w:val="single" w:color="000000" w:sz="4" w:space="0"/>
              <w:right w:val="single" w:color="000000" w:sz="4" w:space="0"/>
            </w:tcBorders>
            <w:noWrap w:val="0"/>
            <w:vAlign w:val="center"/>
          </w:tcPr>
          <w:p>
            <w:pPr>
              <w:topLinePunct/>
              <w:ind w:left="108"/>
              <w:jc w:val="center"/>
              <w:rPr>
                <w:rFonts w:hint="eastAsia" w:ascii="宋体" w:hAnsi="宋体" w:eastAsia="宋体" w:cs="宋体"/>
                <w:i w:val="0"/>
                <w:iCs w:val="0"/>
                <w:color w:val="000000"/>
                <w:kern w:val="0"/>
                <w:sz w:val="20"/>
                <w:szCs w:val="20"/>
                <w:u w:val="none"/>
                <w:lang w:val="en-US" w:eastAsia="zh-CN" w:bidi="ar"/>
              </w:rPr>
            </w:pPr>
          </w:p>
        </w:tc>
        <w:tc>
          <w:tcPr>
            <w:tcW w:w="7003"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left"/>
              <w:rPr>
                <w:rFonts w:hint="eastAsia" w:ascii="宋体" w:hAnsi="宋体" w:cs="宋体"/>
                <w:b/>
                <w:bCs/>
                <w:sz w:val="20"/>
                <w:szCs w:val="20"/>
              </w:rPr>
            </w:pPr>
            <w:r>
              <w:rPr>
                <w:rFonts w:hint="eastAsia" w:ascii="宋体" w:hAnsi="宋体" w:cs="宋体"/>
                <w:b/>
                <w:bCs/>
                <w:sz w:val="20"/>
                <w:szCs w:val="20"/>
              </w:rPr>
              <w:t>课程设计服务</w:t>
            </w:r>
          </w:p>
          <w:p>
            <w:pPr>
              <w:topLinePunct/>
              <w:ind w:left="108"/>
              <w:jc w:val="left"/>
              <w:rPr>
                <w:rFonts w:hint="eastAsia" w:ascii="宋体" w:hAnsi="宋体" w:cs="宋体"/>
                <w:sz w:val="20"/>
                <w:szCs w:val="20"/>
              </w:rPr>
            </w:pPr>
            <w:r>
              <w:rPr>
                <w:rFonts w:hint="eastAsia" w:ascii="宋体" w:hAnsi="宋体" w:cs="宋体"/>
                <w:sz w:val="20"/>
                <w:szCs w:val="20"/>
              </w:rPr>
              <w:t>需有专业人员协助课程教师团队进行课程培训，专业课程编导协助课程顾问与老师深度沟通，收集课程相关资料。协助老师完成PPT、讲稿，根据讲稿进行详细拆分，具有完整的教学逻辑关系，易于学习者理解和记忆。保障各项教学活动完整、有效，按计划实施，师生互动充分，能有效促进师生之间、学生之间进行资源共享、互动交流和自主式与协作式学习，保证线上线下应用结合效果较好，能切实提高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1137" w:type="dxa"/>
            <w:vMerge w:val="continue"/>
            <w:tcBorders>
              <w:left w:val="single" w:color="000000" w:sz="4" w:space="0"/>
              <w:right w:val="single" w:color="000000" w:sz="4" w:space="0"/>
            </w:tcBorders>
            <w:noWrap w:val="0"/>
            <w:vAlign w:val="center"/>
          </w:tcPr>
          <w:p>
            <w:pPr>
              <w:topLinePunct/>
              <w:jc w:val="center"/>
              <w:rPr>
                <w:rFonts w:hint="eastAsia" w:cs="宋体" w:asciiTheme="minorHAnsi" w:hAnsiTheme="minorHAnsi" w:eastAsiaTheme="minorHAnsi"/>
                <w:color w:val="000000"/>
                <w:kern w:val="0"/>
                <w:sz w:val="20"/>
                <w:szCs w:val="20"/>
              </w:rPr>
            </w:pPr>
          </w:p>
        </w:tc>
        <w:tc>
          <w:tcPr>
            <w:tcW w:w="1715" w:type="dxa"/>
            <w:vMerge w:val="continue"/>
            <w:tcBorders>
              <w:left w:val="single" w:color="000000" w:sz="4" w:space="0"/>
              <w:right w:val="single" w:color="000000" w:sz="4" w:space="0"/>
            </w:tcBorders>
            <w:noWrap w:val="0"/>
            <w:vAlign w:val="center"/>
          </w:tcPr>
          <w:p>
            <w:pPr>
              <w:topLinePunct/>
              <w:ind w:left="108"/>
              <w:jc w:val="center"/>
              <w:rPr>
                <w:rFonts w:hint="eastAsia" w:ascii="宋体" w:hAnsi="宋体" w:eastAsia="宋体" w:cs="宋体"/>
                <w:i w:val="0"/>
                <w:iCs w:val="0"/>
                <w:color w:val="000000"/>
                <w:kern w:val="0"/>
                <w:sz w:val="20"/>
                <w:szCs w:val="20"/>
                <w:u w:val="none"/>
                <w:lang w:val="en-US" w:eastAsia="zh-CN" w:bidi="ar"/>
              </w:rPr>
            </w:pPr>
          </w:p>
        </w:tc>
        <w:tc>
          <w:tcPr>
            <w:tcW w:w="7003"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left"/>
              <w:rPr>
                <w:rFonts w:hint="default" w:ascii="宋体" w:hAnsi="宋体" w:cs="宋体"/>
                <w:b/>
                <w:bCs/>
                <w:sz w:val="20"/>
                <w:szCs w:val="20"/>
                <w:lang w:val="en-US" w:eastAsia="zh-CN"/>
              </w:rPr>
            </w:pPr>
            <w:r>
              <w:rPr>
                <w:rFonts w:hint="eastAsia" w:ascii="宋体" w:hAnsi="宋体" w:cs="宋体"/>
                <w:b/>
                <w:bCs/>
                <w:sz w:val="20"/>
                <w:szCs w:val="20"/>
                <w:lang w:val="en-US" w:eastAsia="zh-CN"/>
              </w:rPr>
              <w:t>教学内容</w:t>
            </w:r>
          </w:p>
          <w:p>
            <w:pPr>
              <w:snapToGrid w:val="0"/>
              <w:rPr>
                <w:rFonts w:hint="eastAsia" w:ascii="宋体" w:hAnsi="宋体" w:cs="宋体"/>
                <w:sz w:val="20"/>
                <w:szCs w:val="20"/>
              </w:rPr>
            </w:pPr>
            <w:r>
              <w:rPr>
                <w:rFonts w:hint="eastAsia" w:ascii="宋体" w:hAnsi="宋体" w:cs="宋体"/>
                <w:sz w:val="20"/>
                <w:szCs w:val="20"/>
              </w:rPr>
              <w:t>根据教学目标和课程特点，重组教学内容与资源，建立以知识点为基本教学要素的知识框架；教学内容准备，数据和资料引用规范严谨。</w:t>
            </w:r>
          </w:p>
          <w:p>
            <w:pPr>
              <w:snapToGrid w:val="0"/>
              <w:rPr>
                <w:rFonts w:hint="eastAsia" w:ascii="宋体" w:hAnsi="宋体" w:cs="宋体"/>
                <w:sz w:val="20"/>
                <w:szCs w:val="20"/>
              </w:rPr>
            </w:pPr>
            <w:r>
              <w:rPr>
                <w:rFonts w:hint="eastAsia" w:ascii="宋体" w:hAnsi="宋体" w:cs="宋体"/>
                <w:sz w:val="20"/>
                <w:szCs w:val="20"/>
              </w:rPr>
              <w:t>教学内容重组，顾问协助教师进行课程知识点划分，梳理课程知识点（线上，线下部分）形成章节表，</w:t>
            </w:r>
          </w:p>
          <w:p>
            <w:pPr>
              <w:topLinePunct/>
              <w:jc w:val="left"/>
              <w:rPr>
                <w:rFonts w:hint="eastAsia" w:ascii="宋体" w:hAnsi="宋体" w:cs="宋体"/>
                <w:sz w:val="20"/>
                <w:szCs w:val="20"/>
              </w:rPr>
            </w:pPr>
            <w:r>
              <w:rPr>
                <w:rFonts w:hint="eastAsia" w:ascii="宋体" w:hAnsi="宋体" w:cs="宋体"/>
                <w:sz w:val="20"/>
                <w:szCs w:val="20"/>
              </w:rPr>
              <w:t>课程内容结构符合学生成长规律，依据学科前沿动态与社会发展需求动态更新知识体系，契合课程目标，教材选用符合教育部和学校教材选用规定，教学资源丰富多样，体现思想性、科学性与时代性。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1137" w:type="dxa"/>
            <w:vMerge w:val="continue"/>
            <w:tcBorders>
              <w:left w:val="single" w:color="000000" w:sz="4" w:space="0"/>
              <w:right w:val="single" w:color="000000" w:sz="4" w:space="0"/>
            </w:tcBorders>
            <w:noWrap w:val="0"/>
            <w:vAlign w:val="center"/>
          </w:tcPr>
          <w:p>
            <w:pPr>
              <w:topLinePunct/>
              <w:jc w:val="center"/>
              <w:rPr>
                <w:rFonts w:hint="eastAsia" w:cs="宋体" w:asciiTheme="minorHAnsi" w:hAnsiTheme="minorHAnsi" w:eastAsiaTheme="minorHAnsi"/>
                <w:color w:val="000000"/>
                <w:kern w:val="0"/>
                <w:sz w:val="20"/>
                <w:szCs w:val="20"/>
              </w:rPr>
            </w:pPr>
          </w:p>
        </w:tc>
        <w:tc>
          <w:tcPr>
            <w:tcW w:w="1715" w:type="dxa"/>
            <w:vMerge w:val="continue"/>
            <w:tcBorders>
              <w:left w:val="single" w:color="000000" w:sz="4" w:space="0"/>
              <w:right w:val="single" w:color="000000" w:sz="4" w:space="0"/>
            </w:tcBorders>
            <w:noWrap w:val="0"/>
            <w:vAlign w:val="center"/>
          </w:tcPr>
          <w:p>
            <w:pPr>
              <w:topLinePunct/>
              <w:ind w:left="108"/>
              <w:jc w:val="center"/>
              <w:rPr>
                <w:rFonts w:hint="eastAsia" w:ascii="宋体" w:hAnsi="宋体" w:eastAsia="宋体" w:cs="宋体"/>
                <w:i w:val="0"/>
                <w:iCs w:val="0"/>
                <w:color w:val="000000"/>
                <w:kern w:val="0"/>
                <w:sz w:val="20"/>
                <w:szCs w:val="20"/>
                <w:u w:val="none"/>
                <w:lang w:val="en-US" w:eastAsia="zh-CN" w:bidi="ar"/>
              </w:rPr>
            </w:pPr>
          </w:p>
        </w:tc>
        <w:tc>
          <w:tcPr>
            <w:tcW w:w="7003" w:type="dxa"/>
            <w:tcBorders>
              <w:top w:val="single" w:color="000000" w:sz="4" w:space="0"/>
              <w:left w:val="single" w:color="000000" w:sz="4" w:space="0"/>
              <w:bottom w:val="single" w:color="000000" w:sz="4" w:space="0"/>
              <w:right w:val="single" w:color="000000" w:sz="4" w:space="0"/>
            </w:tcBorders>
            <w:noWrap w:val="0"/>
            <w:vAlign w:val="center"/>
          </w:tcPr>
          <w:p>
            <w:pPr>
              <w:rPr>
                <w:rStyle w:val="36"/>
                <w:rFonts w:hint="eastAsia" w:ascii="宋体" w:hAnsi="宋体" w:cs="宋体"/>
                <w:b/>
                <w:bCs/>
                <w:sz w:val="20"/>
                <w:szCs w:val="20"/>
              </w:rPr>
            </w:pPr>
            <w:r>
              <w:rPr>
                <w:rFonts w:hint="eastAsia" w:ascii="宋体" w:hAnsi="宋体" w:cs="宋体"/>
                <w:b/>
                <w:bCs/>
                <w:sz w:val="20"/>
                <w:szCs w:val="20"/>
              </w:rPr>
              <w:t>教学设计与方法</w:t>
            </w:r>
          </w:p>
          <w:p>
            <w:pPr>
              <w:rPr>
                <w:rStyle w:val="36"/>
                <w:rFonts w:hint="eastAsia" w:ascii="宋体" w:hAnsi="宋体" w:cs="宋体"/>
                <w:sz w:val="20"/>
                <w:szCs w:val="20"/>
              </w:rPr>
            </w:pPr>
            <w:r>
              <w:rPr>
                <w:rStyle w:val="36"/>
                <w:rFonts w:hint="eastAsia" w:ascii="宋体" w:hAnsi="宋体" w:cs="宋体"/>
                <w:sz w:val="20"/>
                <w:szCs w:val="20"/>
              </w:rPr>
              <w:t>有专业人员协助课程教师团队把握一流课程教学特点，运用系统方法开展教学设计，综合运用情景式、启发式、案例式等教学方法，教学呈现形式多样。</w:t>
            </w:r>
          </w:p>
          <w:p>
            <w:pPr>
              <w:rPr>
                <w:rStyle w:val="36"/>
                <w:rFonts w:hint="eastAsia" w:ascii="宋体" w:hAnsi="宋体" w:cs="宋体"/>
                <w:sz w:val="20"/>
                <w:szCs w:val="20"/>
              </w:rPr>
            </w:pPr>
            <w:r>
              <w:rPr>
                <w:rStyle w:val="36"/>
                <w:rFonts w:hint="eastAsia" w:ascii="宋体" w:hAnsi="宋体" w:cs="宋体"/>
                <w:sz w:val="20"/>
                <w:szCs w:val="20"/>
              </w:rPr>
              <w:t>（1）课程设计思路：确定课程内容框架，课程设计由传统课程的学科知识体系，从书本第一页到最后一页进行“单线程”教学这种模式转变为混合教学模式。结合学校的办学理念和人才培养方案，课程设计整体增加研究性、创新性、综合性内容，增加课程挑战度。</w:t>
            </w:r>
          </w:p>
          <w:p>
            <w:pPr>
              <w:topLinePunct/>
              <w:ind w:left="108"/>
              <w:jc w:val="left"/>
              <w:rPr>
                <w:rFonts w:hint="eastAsia" w:ascii="宋体" w:hAnsi="宋体" w:cs="宋体"/>
                <w:sz w:val="20"/>
                <w:szCs w:val="20"/>
              </w:rPr>
            </w:pPr>
            <w:r>
              <w:rPr>
                <w:rStyle w:val="36"/>
                <w:rFonts w:hint="eastAsia" w:ascii="宋体" w:hAnsi="宋体" w:cs="宋体"/>
                <w:sz w:val="20"/>
                <w:szCs w:val="20"/>
              </w:rPr>
              <w:t>（2）课程宣传词：协助教师团队完成课程宣传词，体现课程内涵和使命，用做课程片头，样片制作及课程宣传。展示课程的总体差异化特征。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1137" w:type="dxa"/>
            <w:vMerge w:val="continue"/>
            <w:tcBorders>
              <w:left w:val="single" w:color="000000" w:sz="4" w:space="0"/>
              <w:right w:val="single" w:color="000000" w:sz="4" w:space="0"/>
            </w:tcBorders>
            <w:noWrap w:val="0"/>
            <w:vAlign w:val="center"/>
          </w:tcPr>
          <w:p>
            <w:pPr>
              <w:topLinePunct/>
              <w:jc w:val="center"/>
              <w:rPr>
                <w:rFonts w:hint="eastAsia" w:cs="宋体" w:asciiTheme="minorHAnsi" w:hAnsiTheme="minorHAnsi" w:eastAsiaTheme="minorHAnsi"/>
                <w:color w:val="000000"/>
                <w:kern w:val="0"/>
                <w:sz w:val="20"/>
                <w:szCs w:val="20"/>
              </w:rPr>
            </w:pPr>
          </w:p>
        </w:tc>
        <w:tc>
          <w:tcPr>
            <w:tcW w:w="1715" w:type="dxa"/>
            <w:vMerge w:val="continue"/>
            <w:tcBorders>
              <w:left w:val="single" w:color="000000" w:sz="4" w:space="0"/>
              <w:right w:val="single" w:color="000000" w:sz="4" w:space="0"/>
            </w:tcBorders>
            <w:noWrap w:val="0"/>
            <w:vAlign w:val="center"/>
          </w:tcPr>
          <w:p>
            <w:pPr>
              <w:topLinePunct/>
              <w:ind w:left="108"/>
              <w:jc w:val="center"/>
              <w:rPr>
                <w:rFonts w:hint="eastAsia" w:ascii="宋体" w:hAnsi="宋体" w:eastAsia="宋体" w:cs="宋体"/>
                <w:i w:val="0"/>
                <w:iCs w:val="0"/>
                <w:color w:val="000000"/>
                <w:kern w:val="0"/>
                <w:sz w:val="20"/>
                <w:szCs w:val="20"/>
                <w:u w:val="none"/>
                <w:lang w:val="en-US" w:eastAsia="zh-CN" w:bidi="ar"/>
              </w:rPr>
            </w:pPr>
          </w:p>
        </w:tc>
        <w:tc>
          <w:tcPr>
            <w:tcW w:w="7003" w:type="dxa"/>
            <w:tcBorders>
              <w:top w:val="single" w:color="000000" w:sz="4" w:space="0"/>
              <w:left w:val="single" w:color="000000" w:sz="4" w:space="0"/>
              <w:bottom w:val="single" w:color="000000" w:sz="4" w:space="0"/>
              <w:right w:val="single" w:color="000000" w:sz="4" w:space="0"/>
            </w:tcBorders>
            <w:noWrap w:val="0"/>
            <w:vAlign w:val="center"/>
          </w:tcPr>
          <w:p>
            <w:pPr>
              <w:topLinePunct/>
              <w:ind w:left="108"/>
              <w:jc w:val="left"/>
              <w:rPr>
                <w:rStyle w:val="36"/>
                <w:rFonts w:hint="eastAsia" w:ascii="宋体" w:hAnsi="宋体" w:cs="宋体" w:eastAsiaTheme="minorEastAsia"/>
                <w:b/>
                <w:bCs/>
                <w:sz w:val="20"/>
                <w:szCs w:val="20"/>
                <w:lang w:val="en-US" w:eastAsia="zh-CN"/>
              </w:rPr>
            </w:pPr>
            <w:r>
              <w:rPr>
                <w:rStyle w:val="36"/>
                <w:rFonts w:hint="eastAsia" w:ascii="宋体" w:hAnsi="宋体" w:cs="宋体" w:eastAsiaTheme="minorEastAsia"/>
                <w:b/>
                <w:bCs/>
                <w:sz w:val="20"/>
                <w:szCs w:val="20"/>
                <w:lang w:val="en-US" w:eastAsia="zh-CN"/>
              </w:rPr>
              <w:t>讲稿设计</w:t>
            </w:r>
          </w:p>
          <w:p>
            <w:pPr>
              <w:topLinePunct/>
              <w:ind w:left="108"/>
              <w:jc w:val="left"/>
              <w:rPr>
                <w:rFonts w:hint="eastAsia" w:eastAsiaTheme="minorEastAsia"/>
                <w:sz w:val="20"/>
                <w:szCs w:val="20"/>
                <w:lang w:val="en-US" w:eastAsia="zh-CN"/>
              </w:rPr>
            </w:pPr>
            <w:r>
              <w:rPr>
                <w:rStyle w:val="36"/>
                <w:rFonts w:hint="eastAsia" w:ascii="宋体" w:hAnsi="宋体" w:cs="宋体" w:eastAsiaTheme="minorEastAsia"/>
                <w:sz w:val="20"/>
                <w:szCs w:val="20"/>
              </w:rPr>
              <w:t>教师团队根据线上课程设计拆分成的教学内容，提供线上每个知识点讲稿初稿及PPT，顾问团队按照课程制作标准进行讲稿PPT审核，直至讲稿定稿后再进入拍摄环节</w:t>
            </w:r>
            <w:r>
              <w:rPr>
                <w:rStyle w:val="36"/>
                <w:rFonts w:hint="eastAsia" w:ascii="宋体" w:hAnsi="宋体" w:cs="宋体" w:eastAsiaTheme="minorEastAsia"/>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1137" w:type="dxa"/>
            <w:vMerge w:val="continue"/>
            <w:tcBorders>
              <w:left w:val="single" w:color="000000" w:sz="4" w:space="0"/>
              <w:right w:val="single" w:color="000000" w:sz="4" w:space="0"/>
            </w:tcBorders>
            <w:noWrap w:val="0"/>
            <w:vAlign w:val="top"/>
          </w:tcPr>
          <w:p>
            <w:pPr>
              <w:topLinePunct/>
              <w:ind w:left="108"/>
              <w:jc w:val="center"/>
              <w:rPr>
                <w:rStyle w:val="35"/>
                <w:rFonts w:hint="eastAsia" w:ascii="宋体" w:hAnsi="宋体" w:cs="宋体"/>
                <w:b/>
                <w:bCs/>
                <w:kern w:val="0"/>
                <w:sz w:val="20"/>
                <w:szCs w:val="20"/>
                <w:lang w:bidi="ne-NP"/>
              </w:rPr>
            </w:pPr>
          </w:p>
        </w:tc>
        <w:tc>
          <w:tcPr>
            <w:tcW w:w="1715" w:type="dxa"/>
            <w:vMerge w:val="continue"/>
            <w:tcBorders>
              <w:left w:val="single" w:color="000000" w:sz="4" w:space="0"/>
              <w:bottom w:val="single" w:color="000000" w:sz="4" w:space="0"/>
              <w:right w:val="single" w:color="000000" w:sz="4" w:space="0"/>
            </w:tcBorders>
            <w:noWrap w:val="0"/>
            <w:vAlign w:val="center"/>
          </w:tcPr>
          <w:p>
            <w:pPr>
              <w:topLinePunct/>
              <w:ind w:left="108"/>
              <w:jc w:val="center"/>
              <w:rPr>
                <w:rStyle w:val="35"/>
                <w:rFonts w:hint="eastAsia" w:ascii="宋体" w:hAnsi="宋体" w:cs="宋体"/>
                <w:b/>
                <w:bCs/>
                <w:kern w:val="0"/>
                <w:sz w:val="20"/>
                <w:szCs w:val="20"/>
                <w:lang w:bidi="ne-NP"/>
              </w:rPr>
            </w:pPr>
          </w:p>
        </w:tc>
        <w:tc>
          <w:tcPr>
            <w:tcW w:w="7003" w:type="dxa"/>
            <w:tcBorders>
              <w:top w:val="single" w:color="000000" w:sz="4" w:space="0"/>
              <w:left w:val="single" w:color="000000" w:sz="4" w:space="0"/>
              <w:bottom w:val="single" w:color="000000" w:sz="4" w:space="0"/>
              <w:right w:val="single" w:color="000000" w:sz="4" w:space="0"/>
            </w:tcBorders>
            <w:noWrap w:val="0"/>
            <w:vAlign w:val="top"/>
          </w:tcPr>
          <w:p>
            <w:pPr>
              <w:rPr>
                <w:rStyle w:val="36"/>
                <w:rFonts w:hint="eastAsia" w:ascii="宋体" w:hAnsi="宋体" w:cs="宋体"/>
                <w:b/>
                <w:bCs/>
                <w:sz w:val="20"/>
                <w:szCs w:val="20"/>
              </w:rPr>
            </w:pPr>
            <w:r>
              <w:rPr>
                <w:rStyle w:val="36"/>
                <w:rFonts w:hint="eastAsia" w:ascii="宋体" w:hAnsi="宋体" w:cs="宋体"/>
                <w:b/>
                <w:bCs/>
                <w:sz w:val="20"/>
                <w:szCs w:val="20"/>
              </w:rPr>
              <w:t>一、拍摄人员配备要求</w:t>
            </w:r>
          </w:p>
          <w:p>
            <w:pPr>
              <w:rPr>
                <w:rStyle w:val="36"/>
                <w:rFonts w:hint="eastAsia" w:ascii="宋体" w:hAnsi="宋体" w:cs="宋体"/>
                <w:sz w:val="20"/>
                <w:szCs w:val="20"/>
              </w:rPr>
            </w:pPr>
            <w:r>
              <w:rPr>
                <w:rStyle w:val="36"/>
                <w:rFonts w:hint="eastAsia" w:ascii="宋体" w:hAnsi="宋体" w:cs="宋体"/>
                <w:sz w:val="20"/>
                <w:szCs w:val="20"/>
              </w:rPr>
              <w:t>1、精品在线开放课程团队建设：除投标单位专业人员外，必须包括精品在线开放课程的建设团队成员共同组成。</w:t>
            </w:r>
          </w:p>
          <w:p>
            <w:pPr>
              <w:rPr>
                <w:rStyle w:val="36"/>
                <w:rFonts w:hint="eastAsia" w:ascii="宋体" w:hAnsi="宋体" w:cs="宋体"/>
                <w:sz w:val="20"/>
                <w:szCs w:val="20"/>
              </w:rPr>
            </w:pPr>
            <w:r>
              <w:rPr>
                <w:rStyle w:val="36"/>
                <w:rFonts w:hint="eastAsia" w:ascii="宋体" w:hAnsi="宋体" w:cs="宋体"/>
                <w:sz w:val="20"/>
                <w:szCs w:val="20"/>
              </w:rPr>
              <w:t>2、精品在线开放课程编导：与老师深度沟通，收集材料，起草精品在线开放课程脚本、拟定分组镜头大纲</w:t>
            </w:r>
          </w:p>
          <w:p>
            <w:pPr>
              <w:rPr>
                <w:rStyle w:val="36"/>
                <w:rFonts w:hint="eastAsia" w:ascii="宋体" w:hAnsi="宋体" w:cs="宋体"/>
                <w:b/>
                <w:bCs/>
                <w:sz w:val="20"/>
                <w:szCs w:val="20"/>
              </w:rPr>
            </w:pPr>
            <w:r>
              <w:rPr>
                <w:rStyle w:val="36"/>
                <w:rFonts w:hint="eastAsia" w:ascii="宋体" w:hAnsi="宋体" w:cs="宋体"/>
                <w:b/>
                <w:bCs/>
                <w:sz w:val="20"/>
                <w:szCs w:val="20"/>
              </w:rPr>
              <w:t>二、机位设定及设备</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双机位专业高清摄像机，摄像机拍摄时采用分辨率为1980*1080，录像视频宽16:9帧率设定为25 帧；拍摄设备要同型同款，多台高清摄像机保证录制效果的一致性；</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主机位用于拍摄教师全景，主机位用于拍摄教师全景，辅助机位1拍摄教师特写。录音设备要求使用若干个专业级话筒，保证录音质量。</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保证拍摄现场的音响效果及灯光效果达到摄影棚级别要求。</w:t>
            </w:r>
          </w:p>
          <w:p>
            <w:pPr>
              <w:rPr>
                <w:rStyle w:val="36"/>
                <w:rFonts w:hint="eastAsia" w:ascii="宋体" w:hAnsi="宋体" w:cs="宋体" w:eastAsiaTheme="minorEastAsia"/>
                <w:b/>
                <w:bCs/>
                <w:sz w:val="20"/>
                <w:szCs w:val="20"/>
                <w:lang w:eastAsia="zh-CN"/>
              </w:rPr>
            </w:pPr>
            <w:r>
              <w:rPr>
                <w:rStyle w:val="36"/>
                <w:rFonts w:hint="eastAsia" w:ascii="宋体" w:hAnsi="宋体" w:cs="宋体"/>
                <w:b/>
                <w:bCs/>
                <w:sz w:val="20"/>
                <w:szCs w:val="20"/>
              </w:rPr>
              <w:t>三、后期制作要求</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1、使用一线专业非编软件：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2、根据每个课程数字资源的内容提供片头，片头时长根据课程要求而定。</w:t>
            </w:r>
          </w:p>
          <w:p>
            <w:pPr>
              <w:rPr>
                <w:rStyle w:val="36"/>
                <w:rFonts w:hint="eastAsia" w:ascii="宋体" w:hAnsi="宋体" w:cs="宋体" w:eastAsiaTheme="minorEastAsia"/>
                <w:b/>
                <w:bCs/>
                <w:sz w:val="20"/>
                <w:szCs w:val="20"/>
                <w:lang w:eastAsia="zh-CN"/>
              </w:rPr>
            </w:pPr>
            <w:r>
              <w:rPr>
                <w:rStyle w:val="36"/>
                <w:rFonts w:hint="eastAsia" w:ascii="宋体" w:hAnsi="宋体" w:cs="宋体"/>
                <w:b/>
                <w:bCs/>
                <w:sz w:val="20"/>
                <w:szCs w:val="20"/>
              </w:rPr>
              <w:t>四、视频图像质量</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1、稳定性：全片图像同步性能稳定，无失步现象，CTL 同步控制信号必须连续；图像无抖动跳跃，色彩无突变，编辑点处图像稳定。</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2、信噪比：图像信噪比不低于55dB，无明显杂波。</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3、色调：白平衡正确，无明显偏色，多机拍摄的镜头衔接处无明显色差。</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4、视频电平：视频全讯号幅度为1Ⅴp-p，最大不超过1.1Ⅴp-p。其中，消隐电平为0V时，白电平幅度0.7Ⅴp-p，同步信号-0.3V，色同步信号幅度0.3Vp-p (以消隐线上下对称)，全片一致。</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5、视频画幅宽高比：宽高比为16:9;在同一课程数字资源中，各讲应统一画幅的宽高比，不得混用。</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6、视频压缩采用H.264(MPEG-4 Part10：profile=main, level=3.0)编码方式，码流率5000kbps 以上，帧率不低于25fps，分辨率应不低于1920×1080，成片格式为采用MP4格式，提供片头设计和制作。</w:t>
            </w:r>
          </w:p>
          <w:p>
            <w:pPr>
              <w:rPr>
                <w:rStyle w:val="36"/>
                <w:rFonts w:hint="eastAsia" w:ascii="宋体" w:hAnsi="宋体" w:cs="宋体" w:eastAsiaTheme="minorEastAsia"/>
                <w:b/>
                <w:bCs/>
                <w:sz w:val="20"/>
                <w:szCs w:val="20"/>
                <w:lang w:eastAsia="zh-CN"/>
              </w:rPr>
            </w:pPr>
            <w:r>
              <w:rPr>
                <w:rStyle w:val="36"/>
                <w:rFonts w:hint="eastAsia" w:ascii="宋体" w:hAnsi="宋体" w:cs="宋体"/>
                <w:b/>
                <w:bCs/>
                <w:sz w:val="20"/>
                <w:szCs w:val="20"/>
              </w:rPr>
              <w:t>五、音频压缩格式及技术参数</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1、音频压缩采用AAC(MPEG4 Part3)格式。</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2、采样率48KHz。</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3、音频码流率256kbps (恒定)。</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4、必须是双声道，必须做混音处理。</w:t>
            </w:r>
          </w:p>
          <w:p>
            <w:pPr>
              <w:snapToGrid w:val="0"/>
              <w:spacing w:line="360" w:lineRule="auto"/>
              <w:jc w:val="left"/>
              <w:rPr>
                <w:rStyle w:val="36"/>
                <w:rFonts w:hint="eastAsia" w:ascii="宋体" w:hAnsi="宋体" w:cs="宋体" w:eastAsiaTheme="minorEastAsia"/>
                <w:b/>
                <w:bCs/>
                <w:sz w:val="20"/>
                <w:szCs w:val="20"/>
                <w:lang w:eastAsia="zh-CN"/>
              </w:rPr>
            </w:pPr>
            <w:r>
              <w:rPr>
                <w:rStyle w:val="36"/>
                <w:rFonts w:hint="eastAsia" w:ascii="宋体" w:hAnsi="宋体" w:cs="宋体"/>
                <w:b/>
                <w:bCs/>
                <w:sz w:val="20"/>
                <w:szCs w:val="20"/>
              </w:rPr>
              <w:t>六、制作规范及要求</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1、使用专业的非线性编辑(1920*50M/S)系统对源视频进行最基本的处理（如剪辑、抠像、颜色校正、双声道处理）。</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2、声音和画面要求同步，无交流声或其他杂音等缺陷，无明显失真、放音过冲、过弱。伴音清晰、饱满、圆润，无失真、噪声杂音干扰、音量忽大忽小现象。解说声与现场声、背景音乐无明显比例失调。音频信噪比不低于48dB。</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3、后期特效保证画面美观、色彩真实，符合摄影构图规则。老师视频必须具备人物特写、知识点特效展示、人物中景等场景。场景切换自然流畅，色彩无突变，画面无晃动、抖动、模糊聚焦和镜头频繁拉伸等。</w:t>
            </w:r>
          </w:p>
          <w:p>
            <w:pPr>
              <w:snapToGrid w:val="0"/>
              <w:spacing w:line="360" w:lineRule="auto"/>
              <w:jc w:val="left"/>
              <w:rPr>
                <w:rStyle w:val="36"/>
                <w:rFonts w:hint="eastAsia" w:ascii="宋体" w:hAnsi="宋体" w:cs="宋体" w:eastAsiaTheme="minorEastAsia"/>
                <w:b/>
                <w:bCs/>
                <w:sz w:val="20"/>
                <w:szCs w:val="20"/>
                <w:lang w:eastAsia="zh-CN"/>
              </w:rPr>
            </w:pPr>
            <w:r>
              <w:rPr>
                <w:rStyle w:val="36"/>
                <w:rFonts w:hint="eastAsia" w:ascii="宋体" w:hAnsi="宋体" w:cs="宋体"/>
                <w:b/>
                <w:bCs/>
                <w:sz w:val="20"/>
                <w:szCs w:val="20"/>
                <w:lang w:eastAsia="zh-CN"/>
              </w:rPr>
              <w:t>七</w:t>
            </w:r>
            <w:r>
              <w:rPr>
                <w:rStyle w:val="36"/>
                <w:rFonts w:hint="eastAsia" w:ascii="宋体" w:hAnsi="宋体" w:cs="宋体"/>
                <w:b/>
                <w:bCs/>
                <w:sz w:val="20"/>
                <w:szCs w:val="20"/>
              </w:rPr>
              <w:t>、成片标准</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1、视频标准：格式为mp4，采用H.264编码；公司应保留全部母带级别文件，至少一年；</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2、分辨率：1080p高清（1920× 1080）；压缩码率&gt;800kb，&lt;1024kb；单个文件大小500m以内；录制视频宽高比16:9，视频帧率为25 帧/秒；</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3、音频标准：音频压缩采用：AAC 格式；</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4、采样率：48KHz；</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5、音频码流率：128Kbps；</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6、声道：双声道。</w:t>
            </w:r>
          </w:p>
          <w:p>
            <w:pPr>
              <w:snapToGrid w:val="0"/>
              <w:spacing w:line="360" w:lineRule="auto"/>
              <w:jc w:val="left"/>
              <w:rPr>
                <w:rFonts w:hint="eastAsia"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八</w:t>
            </w:r>
            <w:r>
              <w:rPr>
                <w:rFonts w:hint="eastAsia" w:ascii="宋体" w:hAnsi="宋体" w:eastAsia="宋体" w:cs="宋体"/>
                <w:b/>
                <w:bCs/>
                <w:color w:val="auto"/>
                <w:kern w:val="0"/>
                <w:sz w:val="20"/>
                <w:szCs w:val="20"/>
                <w:lang w:val="en-US" w:eastAsia="zh-CN"/>
              </w:rPr>
              <w:t>、支持数字人技术拍摄和制作</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1、数字人人像构建：支持真人定制，还原度98%；支持人像位置，大小调节。</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2、数字人声音构建：支持公用声音库自选，声音库包含英语、日语、秦语等多门外语，以及四川、东北、天津等多地方言，要求真人真声定制，还原度98%；支持数字人的音调、语速、音量再调节。</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3、数字人驱动：支持文本驱动，可以在线编辑文稿，也可以使用AI辅助创作文案，实现在线试听效果；支持语音驱动，可以在线录音，也可以本地上传音频；支持数字人完成进度状态可视化，可筛</w:t>
            </w:r>
          </w:p>
          <w:p>
            <w:pPr>
              <w:snapToGrid w:val="0"/>
              <w:rPr>
                <w:rFonts w:hint="eastAsia" w:ascii="宋体" w:hAnsi="宋体" w:cs="宋体"/>
                <w:sz w:val="20"/>
                <w:szCs w:val="20"/>
                <w:lang w:val="en-US" w:eastAsia="zh-CN" w:bidi="ne-NP"/>
              </w:rPr>
            </w:pPr>
            <w:r>
              <w:rPr>
                <w:rFonts w:hint="eastAsia" w:ascii="宋体" w:hAnsi="宋体" w:cs="宋体"/>
                <w:sz w:val="20"/>
                <w:szCs w:val="20"/>
                <w:lang w:val="en-US" w:eastAsia="zh-CN" w:bidi="ne-NP"/>
              </w:rPr>
              <w:t>选。</w:t>
            </w:r>
          </w:p>
          <w:p>
            <w:pPr>
              <w:snapToGrid w:val="0"/>
              <w:rPr>
                <w:rFonts w:hint="eastAsia" w:ascii="宋体" w:hAnsi="宋体" w:cs="宋体"/>
                <w:sz w:val="20"/>
                <w:szCs w:val="20"/>
              </w:rPr>
            </w:pPr>
            <w:r>
              <w:rPr>
                <w:rFonts w:hint="eastAsia" w:ascii="宋体" w:hAnsi="宋体" w:cs="宋体"/>
                <w:sz w:val="20"/>
                <w:szCs w:val="20"/>
                <w:lang w:val="en-US" w:eastAsia="zh-CN" w:bidi="ne-NP"/>
              </w:rPr>
              <w:t>4、场景/画布：支持对每个场景快速预览；支持对数字人的声音和形象属性进行选择和编辑；支持背景/贴图/视频元素库里自选：背景/贴图/视频元素；支持视频元素作为动态背景形式展现，当视频元素时长小于内容时长时，可循环视频的播放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37" w:type="dxa"/>
            <w:vMerge w:val="continue"/>
            <w:tcBorders>
              <w:left w:val="single" w:color="000000" w:sz="4" w:space="0"/>
              <w:right w:val="single" w:color="000000" w:sz="4" w:space="0"/>
            </w:tcBorders>
            <w:noWrap w:val="0"/>
            <w:vAlign w:val="center"/>
          </w:tcPr>
          <w:p>
            <w:pPr>
              <w:jc w:val="center"/>
              <w:rPr>
                <w:rStyle w:val="36"/>
                <w:rFonts w:hint="eastAsia" w:ascii="宋体" w:hAnsi="宋体" w:cs="宋体"/>
                <w:sz w:val="20"/>
                <w:szCs w:val="20"/>
              </w:rPr>
            </w:pP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35"/>
                <w:rFonts w:hint="default" w:ascii="宋体" w:hAnsi="宋体" w:eastAsia="宋体" w:cs="宋体"/>
                <w:sz w:val="20"/>
                <w:szCs w:val="20"/>
                <w:lang w:val="en-US" w:eastAsia="zh-CN"/>
              </w:rPr>
            </w:pPr>
            <w:r>
              <w:rPr>
                <w:rStyle w:val="35"/>
                <w:rFonts w:hint="eastAsia" w:ascii="宋体" w:hAnsi="宋体" w:cs="宋体"/>
                <w:sz w:val="20"/>
                <w:szCs w:val="20"/>
                <w:lang w:val="en-US" w:eastAsia="zh-CN"/>
              </w:rPr>
              <w:t>课堂实录</w:t>
            </w:r>
          </w:p>
        </w:tc>
        <w:tc>
          <w:tcPr>
            <w:tcW w:w="7003"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eastAsia" w:ascii="宋体" w:hAnsi="宋体" w:eastAsia="宋体" w:cs="宋体"/>
                <w:sz w:val="20"/>
                <w:szCs w:val="20"/>
                <w:highlight w:val="none"/>
                <w:lang w:val="es-AR" w:bidi="ne-NP"/>
              </w:rPr>
            </w:pPr>
            <w:r>
              <w:rPr>
                <w:rFonts w:hint="eastAsia"/>
                <w:sz w:val="20"/>
                <w:szCs w:val="20"/>
                <w:lang w:val="en-US" w:eastAsia="zh-CN"/>
              </w:rPr>
              <w:t xml:space="preserve">1. </w:t>
            </w:r>
            <w:r>
              <w:rPr>
                <w:rFonts w:hint="eastAsia" w:ascii="宋体" w:hAnsi="宋体" w:eastAsia="宋体" w:cs="宋体"/>
                <w:i w:val="0"/>
                <w:iCs w:val="0"/>
                <w:color w:val="000000"/>
                <w:kern w:val="0"/>
                <w:sz w:val="20"/>
                <w:szCs w:val="20"/>
                <w:u w:val="none"/>
                <w:lang w:val="en-US" w:eastAsia="zh-CN" w:bidi="ar"/>
              </w:rPr>
              <w:t>课堂实录</w:t>
            </w:r>
            <w:r>
              <w:rPr>
                <w:rFonts w:hint="eastAsia" w:ascii="宋体" w:hAnsi="宋体" w:cs="宋体"/>
                <w:i w:val="0"/>
                <w:iCs w:val="0"/>
                <w:color w:val="000000"/>
                <w:kern w:val="0"/>
                <w:sz w:val="20"/>
                <w:szCs w:val="20"/>
                <w:u w:val="none"/>
                <w:lang w:val="en-US" w:eastAsia="zh-CN" w:bidi="ar"/>
              </w:rPr>
              <w:t>2堂课</w:t>
            </w:r>
            <w:r>
              <w:rPr>
                <w:rFonts w:hint="eastAsia" w:ascii="宋体" w:hAnsi="宋体" w:eastAsia="宋体" w:cs="宋体"/>
                <w:i w:val="0"/>
                <w:iCs w:val="0"/>
                <w:color w:val="000000"/>
                <w:kern w:val="0"/>
                <w:sz w:val="20"/>
                <w:szCs w:val="20"/>
                <w:u w:val="none"/>
                <w:lang w:val="en-US" w:eastAsia="zh-CN" w:bidi="ar"/>
              </w:rPr>
              <w:t>（45分钟），协助进行各类比赛的运行与申报</w:t>
            </w:r>
          </w:p>
          <w:p>
            <w:pPr>
              <w:snapToGrid w:val="0"/>
              <w:rPr>
                <w:rFonts w:hint="eastAsia" w:ascii="宋体" w:hAnsi="宋体" w:eastAsia="宋体" w:cs="宋体"/>
                <w:sz w:val="20"/>
                <w:szCs w:val="20"/>
                <w:highlight w:val="none"/>
                <w:lang w:val="es-AR" w:bidi="ne-NP"/>
              </w:rPr>
            </w:pPr>
            <w:r>
              <w:rPr>
                <w:rFonts w:hint="eastAsia" w:ascii="宋体" w:hAnsi="宋体" w:eastAsia="宋体" w:cs="宋体"/>
                <w:color w:val="333333"/>
                <w:sz w:val="20"/>
                <w:szCs w:val="20"/>
                <w:highlight w:val="none"/>
              </w:rPr>
              <w:t>2</w:t>
            </w:r>
            <w:r>
              <w:rPr>
                <w:rFonts w:hint="eastAsia" w:ascii="宋体" w:hAnsi="宋体" w:eastAsia="宋体" w:cs="宋体"/>
                <w:sz w:val="20"/>
                <w:szCs w:val="20"/>
                <w:highlight w:val="none"/>
                <w:lang w:bidi="ne-NP"/>
              </w:rPr>
              <w:t>.</w:t>
            </w:r>
            <w:r>
              <w:rPr>
                <w:rFonts w:hint="eastAsia" w:ascii="宋体" w:hAnsi="宋体" w:eastAsia="宋体" w:cs="宋体"/>
                <w:sz w:val="20"/>
                <w:szCs w:val="20"/>
                <w:highlight w:val="none"/>
                <w:lang w:val="es-AR" w:bidi="ne-NP"/>
              </w:rPr>
              <w:t>一学期</w:t>
            </w:r>
            <w:r>
              <w:rPr>
                <w:rFonts w:hint="eastAsia" w:ascii="宋体" w:hAnsi="宋体" w:eastAsia="宋体" w:cs="宋体"/>
                <w:sz w:val="20"/>
                <w:szCs w:val="20"/>
                <w:highlight w:val="none"/>
                <w:lang w:bidi="ne-NP"/>
              </w:rPr>
              <w:t>1</w:t>
            </w:r>
            <w:r>
              <w:rPr>
                <w:rFonts w:hint="eastAsia" w:ascii="宋体" w:hAnsi="宋体" w:eastAsia="宋体" w:cs="宋体"/>
                <w:sz w:val="20"/>
                <w:szCs w:val="20"/>
                <w:highlight w:val="none"/>
                <w:lang w:val="es-AR" w:bidi="ne-NP"/>
              </w:rPr>
              <w:t>次</w:t>
            </w:r>
            <w:r>
              <w:rPr>
                <w:rFonts w:hint="eastAsia" w:ascii="宋体" w:hAnsi="宋体" w:eastAsia="宋体" w:cs="宋体"/>
                <w:sz w:val="20"/>
                <w:szCs w:val="20"/>
                <w:highlight w:val="none"/>
                <w:lang w:val="en-US" w:eastAsia="zh-CN" w:bidi="ne-NP"/>
              </w:rPr>
              <w:t>课堂教学现场支持</w:t>
            </w:r>
            <w:r>
              <w:rPr>
                <w:rFonts w:hint="eastAsia" w:ascii="宋体" w:hAnsi="宋体" w:eastAsia="宋体" w:cs="宋体"/>
                <w:sz w:val="20"/>
                <w:szCs w:val="20"/>
                <w:highlight w:val="none"/>
                <w:lang w:val="es-AR" w:bidi="ne-NP"/>
              </w:rPr>
              <w:t>，包括学生课前自学过程，如自主学习线上内容、小组课前作业准备环节等，包括课堂教学过程，如师生互动场景、小组展示场景、智慧教学工具使用场景等。</w:t>
            </w:r>
          </w:p>
          <w:p>
            <w:pPr>
              <w:snapToGrid w:val="0"/>
              <w:rPr>
                <w:rFonts w:hint="eastAsia" w:eastAsia="宋体"/>
                <w:sz w:val="20"/>
                <w:szCs w:val="20"/>
                <w:lang w:val="en-US" w:eastAsia="zh-CN"/>
              </w:rPr>
            </w:pPr>
            <w:r>
              <w:rPr>
                <w:rFonts w:hint="eastAsia" w:ascii="宋体" w:hAnsi="宋体" w:eastAsia="宋体" w:cs="宋体"/>
                <w:sz w:val="20"/>
                <w:szCs w:val="20"/>
                <w:highlight w:val="none"/>
                <w:lang w:val="en-US" w:eastAsia="zh-CN" w:bidi="ne-NP"/>
              </w:rPr>
              <w:t>3</w:t>
            </w:r>
            <w:r>
              <w:rPr>
                <w:rFonts w:hint="eastAsia" w:ascii="宋体" w:hAnsi="宋体" w:eastAsia="宋体" w:cs="宋体"/>
                <w:sz w:val="20"/>
                <w:szCs w:val="20"/>
                <w:highlight w:val="none"/>
                <w:lang w:bidi="ne-NP"/>
              </w:rPr>
              <w:t>.</w:t>
            </w:r>
            <w:r>
              <w:rPr>
                <w:rFonts w:hint="eastAsia" w:ascii="宋体" w:hAnsi="宋体" w:eastAsia="宋体" w:cs="宋体"/>
                <w:sz w:val="20"/>
                <w:szCs w:val="20"/>
                <w:highlight w:val="none"/>
                <w:lang w:val="es-AR" w:bidi="ne-NP"/>
              </w:rPr>
              <w:t>课堂实录设计、拍摄、精剪</w:t>
            </w:r>
            <w:r>
              <w:rPr>
                <w:rFonts w:hint="eastAsia" w:ascii="宋体" w:hAnsi="宋体" w:eastAsia="宋体" w:cs="宋体"/>
                <w:sz w:val="20"/>
                <w:szCs w:val="20"/>
                <w:highlight w:val="none"/>
                <w:lang w:val="es-AR" w:eastAsia="zh-CN" w:bidi="ne-NP"/>
              </w:rPr>
              <w:t>：</w:t>
            </w:r>
            <w:r>
              <w:rPr>
                <w:rFonts w:hint="eastAsia" w:ascii="宋体" w:hAnsi="宋体" w:eastAsia="宋体" w:cs="宋体"/>
                <w:sz w:val="20"/>
                <w:szCs w:val="20"/>
                <w:highlight w:val="none"/>
                <w:lang w:val="es-AR" w:bidi="ne-NP"/>
              </w:rPr>
              <w:t>完成</w:t>
            </w:r>
            <w:r>
              <w:rPr>
                <w:rFonts w:hint="eastAsia" w:ascii="宋体" w:hAnsi="宋体" w:eastAsia="宋体" w:cs="宋体"/>
                <w:sz w:val="20"/>
                <w:szCs w:val="20"/>
                <w:highlight w:val="none"/>
                <w:lang w:val="en-US" w:eastAsia="zh-CN" w:bidi="ne-NP"/>
              </w:rPr>
              <w:t>2</w:t>
            </w:r>
            <w:r>
              <w:rPr>
                <w:rFonts w:hint="eastAsia" w:ascii="宋体" w:hAnsi="宋体" w:eastAsia="宋体" w:cs="宋体"/>
                <w:sz w:val="20"/>
                <w:szCs w:val="20"/>
                <w:highlight w:val="none"/>
                <w:lang w:val="es-AR" w:bidi="ne-NP"/>
              </w:rPr>
              <w:t>次课堂实录拍摄，精心策划并剪辑成片，以备评审。</w:t>
            </w:r>
            <w:r>
              <w:rPr>
                <w:rFonts w:hint="eastAsia" w:ascii="宋体" w:hAnsi="宋体" w:eastAsia="宋体" w:cs="宋体"/>
                <w:sz w:val="20"/>
                <w:szCs w:val="20"/>
                <w:highlight w:val="none"/>
                <w:lang w:val="en-US" w:eastAsia="zh-CN" w:bidi="ne-NP"/>
              </w:rPr>
              <w:t>包括：</w:t>
            </w:r>
            <w:r>
              <w:rPr>
                <w:rFonts w:hint="eastAsia" w:ascii="宋体" w:hAnsi="宋体" w:eastAsia="宋体" w:cs="宋体"/>
                <w:sz w:val="20"/>
                <w:szCs w:val="20"/>
                <w:highlight w:val="none"/>
                <w:lang w:val="es-AR" w:bidi="ne-NP"/>
              </w:rPr>
              <w:t>课堂实录教学设计打磨</w:t>
            </w:r>
            <w:r>
              <w:rPr>
                <w:rFonts w:hint="eastAsia" w:ascii="宋体" w:hAnsi="宋体" w:eastAsia="宋体" w:cs="宋体"/>
                <w:sz w:val="20"/>
                <w:szCs w:val="20"/>
                <w:highlight w:val="none"/>
                <w:lang w:val="es-AR" w:eastAsia="zh-CN" w:bidi="ne-NP"/>
              </w:rPr>
              <w:t>、</w:t>
            </w:r>
            <w:r>
              <w:rPr>
                <w:rFonts w:hint="eastAsia" w:ascii="宋体" w:hAnsi="宋体" w:eastAsia="宋体" w:cs="宋体"/>
                <w:sz w:val="20"/>
                <w:szCs w:val="20"/>
                <w:highlight w:val="none"/>
                <w:lang w:val="es-AR" w:bidi="ne-NP"/>
              </w:rPr>
              <w:t>课堂活动</w:t>
            </w:r>
            <w:r>
              <w:rPr>
                <w:rFonts w:hint="eastAsia" w:ascii="宋体" w:hAnsi="宋体" w:eastAsia="宋体" w:cs="宋体"/>
                <w:sz w:val="20"/>
                <w:szCs w:val="20"/>
                <w:highlight w:val="none"/>
                <w:lang w:val="en-US" w:eastAsia="zh-CN" w:bidi="ne-NP"/>
              </w:rPr>
              <w:t>设计、</w:t>
            </w:r>
            <w:r>
              <w:rPr>
                <w:rFonts w:hint="eastAsia" w:ascii="宋体" w:hAnsi="宋体" w:eastAsia="宋体" w:cs="宋体"/>
                <w:sz w:val="20"/>
                <w:szCs w:val="20"/>
                <w:highlight w:val="none"/>
                <w:lang w:val="es-AR" w:bidi="ne-NP"/>
              </w:rPr>
              <w:t>智慧教学工具使用</w:t>
            </w:r>
            <w:r>
              <w:rPr>
                <w:rFonts w:hint="eastAsia" w:ascii="宋体" w:hAnsi="宋体" w:eastAsia="宋体" w:cs="宋体"/>
                <w:sz w:val="20"/>
                <w:szCs w:val="20"/>
                <w:highlight w:val="none"/>
                <w:lang w:val="es-AR" w:eastAsia="zh-CN" w:bidi="ne-NP"/>
              </w:rPr>
              <w:t>、</w:t>
            </w:r>
            <w:r>
              <w:rPr>
                <w:rFonts w:hint="eastAsia" w:ascii="宋体" w:hAnsi="宋体" w:eastAsia="宋体" w:cs="宋体"/>
                <w:sz w:val="20"/>
                <w:szCs w:val="20"/>
                <w:highlight w:val="none"/>
                <w:lang w:val="es-AR" w:bidi="ne-NP"/>
              </w:rPr>
              <w:t>课堂实录拍摄</w:t>
            </w:r>
            <w:r>
              <w:rPr>
                <w:rFonts w:hint="eastAsia" w:ascii="宋体" w:hAnsi="宋体" w:eastAsia="宋体" w:cs="宋体"/>
                <w:sz w:val="20"/>
                <w:szCs w:val="20"/>
                <w:highlight w:val="none"/>
                <w:lang w:val="es-AR" w:eastAsia="zh-CN" w:bidi="ne-NP"/>
              </w:rPr>
              <w:t>、</w:t>
            </w:r>
            <w:r>
              <w:rPr>
                <w:rFonts w:hint="eastAsia" w:ascii="宋体" w:hAnsi="宋体" w:eastAsia="宋体" w:cs="宋体"/>
                <w:sz w:val="20"/>
                <w:szCs w:val="20"/>
                <w:highlight w:val="none"/>
                <w:lang w:val="es-AR" w:bidi="ne-NP"/>
              </w:rPr>
              <w:t>课堂实录精剪</w:t>
            </w:r>
            <w:r>
              <w:rPr>
                <w:rFonts w:hint="eastAsia" w:ascii="宋体" w:hAnsi="宋体" w:eastAsia="宋体" w:cs="宋体"/>
                <w:sz w:val="20"/>
                <w:szCs w:val="20"/>
                <w:highlight w:val="none"/>
                <w:lang w:val="es-AR" w:eastAsia="zh-CN" w:bidi="ne-N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1137" w:type="dxa"/>
            <w:vMerge w:val="continue"/>
            <w:tcBorders>
              <w:left w:val="single" w:color="000000" w:sz="4" w:space="0"/>
              <w:right w:val="single" w:color="000000" w:sz="4" w:space="0"/>
            </w:tcBorders>
            <w:noWrap w:val="0"/>
            <w:vAlign w:val="center"/>
          </w:tcPr>
          <w:p>
            <w:pPr>
              <w:snapToGrid w:val="0"/>
              <w:jc w:val="center"/>
              <w:rPr>
                <w:rStyle w:val="35"/>
                <w:rFonts w:hint="eastAsia" w:ascii="宋体" w:hAnsi="宋体" w:cs="宋体"/>
                <w:sz w:val="20"/>
                <w:szCs w:val="20"/>
              </w:rPr>
            </w:pP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35"/>
                <w:rFonts w:hint="eastAsia"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教师教学能力</w:t>
            </w:r>
            <w:r>
              <w:rPr>
                <w:rFonts w:hint="eastAsia" w:ascii="宋体" w:hAnsi="宋体" w:cs="宋体"/>
                <w:i w:val="0"/>
                <w:iCs w:val="0"/>
                <w:color w:val="000000"/>
                <w:kern w:val="0"/>
                <w:sz w:val="20"/>
                <w:szCs w:val="20"/>
                <w:u w:val="none"/>
                <w:lang w:val="en-US" w:eastAsia="zh-CN" w:bidi="ar"/>
              </w:rPr>
              <w:t>提升</w:t>
            </w:r>
          </w:p>
        </w:tc>
        <w:tc>
          <w:tcPr>
            <w:tcW w:w="7003"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eastAsia" w:ascii="宋体" w:hAnsi="宋体" w:cs="宋体"/>
                <w:sz w:val="20"/>
                <w:szCs w:val="20"/>
                <w:lang w:val="es-AR" w:bidi="ne-NP"/>
              </w:rPr>
            </w:pPr>
            <w:r>
              <w:rPr>
                <w:rFonts w:hint="eastAsia" w:ascii="宋体" w:hAnsi="宋体" w:cs="宋体"/>
                <w:sz w:val="20"/>
                <w:szCs w:val="20"/>
                <w:lang w:val="en-US" w:eastAsia="zh-CN" w:bidi="ne-NP"/>
              </w:rPr>
              <w:t>1.</w:t>
            </w:r>
            <w:r>
              <w:rPr>
                <w:rFonts w:hint="eastAsia" w:ascii="宋体" w:hAnsi="宋体" w:cs="宋体"/>
                <w:sz w:val="20"/>
                <w:szCs w:val="20"/>
                <w:lang w:val="es-AR" w:bidi="ne-NP"/>
              </w:rPr>
              <w:t>承诺课程建设前期和后期，</w:t>
            </w:r>
            <w:r>
              <w:rPr>
                <w:rFonts w:hint="eastAsia" w:ascii="宋体" w:hAnsi="宋体" w:cs="宋体"/>
                <w:sz w:val="20"/>
                <w:szCs w:val="20"/>
              </w:rPr>
              <w:t>有专业人员辅助老师</w:t>
            </w:r>
            <w:r>
              <w:rPr>
                <w:rFonts w:hint="eastAsia" w:ascii="宋体" w:hAnsi="宋体" w:cs="宋体"/>
                <w:sz w:val="20"/>
                <w:szCs w:val="20"/>
                <w:lang w:val="es-AR" w:bidi="ne-NP"/>
              </w:rPr>
              <w:t>就课程如何书写脚本，如何进行教学设计，</w:t>
            </w:r>
            <w:r>
              <w:rPr>
                <w:rFonts w:hint="eastAsia" w:ascii="宋体" w:hAnsi="宋体" w:cs="宋体"/>
                <w:sz w:val="20"/>
                <w:szCs w:val="20"/>
                <w:lang w:bidi="ne-NP"/>
              </w:rPr>
              <w:t>章节计划、学时学分换算、</w:t>
            </w:r>
            <w:r>
              <w:rPr>
                <w:rFonts w:hint="eastAsia" w:ascii="宋体" w:hAnsi="宋体" w:cs="宋体"/>
                <w:sz w:val="20"/>
                <w:szCs w:val="20"/>
                <w:lang w:val="es-AR" w:bidi="ne-NP"/>
              </w:rPr>
              <w:t>资源如何上传，</w:t>
            </w:r>
            <w:r>
              <w:rPr>
                <w:rFonts w:hint="eastAsia" w:ascii="宋体" w:hAnsi="宋体" w:cs="宋体"/>
                <w:sz w:val="20"/>
                <w:szCs w:val="20"/>
                <w:lang w:bidi="ne-NP"/>
              </w:rPr>
              <w:t>如何配备习题和考试等，</w:t>
            </w:r>
            <w:r>
              <w:rPr>
                <w:rFonts w:hint="eastAsia" w:ascii="宋体" w:hAnsi="宋体" w:cs="宋体"/>
                <w:sz w:val="20"/>
                <w:szCs w:val="20"/>
                <w:lang w:val="es-AR" w:bidi="ne-NP"/>
              </w:rPr>
              <w:t>课程如何按照</w:t>
            </w:r>
            <w:r>
              <w:rPr>
                <w:rFonts w:hint="eastAsia" w:ascii="宋体" w:hAnsi="宋体" w:cs="宋体"/>
                <w:sz w:val="20"/>
                <w:szCs w:val="20"/>
                <w:lang w:bidi="ne-NP"/>
              </w:rPr>
              <w:t>一流课程</w:t>
            </w:r>
            <w:r>
              <w:rPr>
                <w:rFonts w:hint="eastAsia" w:ascii="宋体" w:hAnsi="宋体" w:cs="宋体"/>
                <w:sz w:val="20"/>
                <w:szCs w:val="20"/>
                <w:lang w:val="es-AR" w:bidi="ne-NP"/>
              </w:rPr>
              <w:t>进行运行、教学等内容，免费培训老师，不限制培训次数，直至学会，并有专人对接。</w:t>
            </w:r>
          </w:p>
          <w:p>
            <w:pPr>
              <w:snapToGrid w:val="0"/>
              <w:rPr>
                <w:rStyle w:val="36"/>
                <w:rFonts w:hint="default" w:ascii="宋体" w:hAnsi="宋体" w:eastAsia="宋体" w:cs="宋体"/>
                <w:sz w:val="20"/>
                <w:szCs w:val="20"/>
                <w:lang w:val="en-US" w:eastAsia="zh-CN"/>
              </w:rPr>
            </w:pPr>
            <w:r>
              <w:rPr>
                <w:rFonts w:hint="eastAsia" w:ascii="宋体" w:hAnsi="宋体" w:cs="宋体"/>
                <w:sz w:val="20"/>
                <w:szCs w:val="20"/>
                <w:lang w:val="en-US" w:eastAsia="zh-CN" w:bidi="ne-NP"/>
              </w:rPr>
              <w:t>2.</w:t>
            </w:r>
            <w:r>
              <w:rPr>
                <w:rFonts w:hint="eastAsia" w:ascii="宋体" w:hAnsi="宋体" w:eastAsia="宋体" w:cs="宋体"/>
                <w:i w:val="0"/>
                <w:iCs w:val="0"/>
                <w:color w:val="000000"/>
                <w:kern w:val="0"/>
                <w:sz w:val="20"/>
                <w:szCs w:val="20"/>
                <w:u w:val="none"/>
                <w:lang w:val="en-US" w:eastAsia="zh-CN" w:bidi="ar"/>
              </w:rPr>
              <w:t>在课程建设前期、申报环节，提供</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次专家从一流课程、课程思政、教学创新大赛的等方面</w:t>
            </w:r>
            <w:r>
              <w:rPr>
                <w:rFonts w:hint="eastAsia" w:ascii="宋体" w:hAnsi="宋体" w:cs="宋体"/>
                <w:i w:val="0"/>
                <w:iCs w:val="0"/>
                <w:color w:val="000000"/>
                <w:kern w:val="0"/>
                <w:sz w:val="20"/>
                <w:szCs w:val="20"/>
                <w:u w:val="none"/>
                <w:lang w:val="en-US" w:eastAsia="zh-CN" w:bidi="ar"/>
              </w:rPr>
              <w:t>进行指导培训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137" w:type="dxa"/>
            <w:vMerge w:val="continue"/>
            <w:tcBorders>
              <w:left w:val="single" w:color="000000" w:sz="4" w:space="0"/>
              <w:right w:val="single" w:color="000000" w:sz="4" w:space="0"/>
            </w:tcBorders>
            <w:noWrap w:val="0"/>
            <w:vAlign w:val="center"/>
          </w:tcPr>
          <w:p>
            <w:pPr>
              <w:snapToGrid w:val="0"/>
              <w:jc w:val="center"/>
              <w:rPr>
                <w:rStyle w:val="35"/>
                <w:rFonts w:hint="eastAsia" w:ascii="宋体" w:hAnsi="宋体" w:cs="宋体"/>
                <w:sz w:val="20"/>
                <w:szCs w:val="20"/>
              </w:rPr>
            </w:pPr>
          </w:p>
        </w:tc>
        <w:tc>
          <w:tcPr>
            <w:tcW w:w="1715" w:type="dxa"/>
            <w:tcBorders>
              <w:top w:val="single" w:color="000000" w:sz="4" w:space="0"/>
              <w:left w:val="single" w:color="000000" w:sz="4" w:space="0"/>
              <w:right w:val="single" w:color="000000" w:sz="4" w:space="0"/>
            </w:tcBorders>
            <w:noWrap w:val="0"/>
            <w:vAlign w:val="center"/>
          </w:tcPr>
          <w:p>
            <w:pPr>
              <w:snapToGrid w:val="0"/>
              <w:jc w:val="center"/>
              <w:rPr>
                <w:rFonts w:hint="eastAsia" w:ascii="宋体" w:hAnsi="宋体" w:cs="宋体"/>
                <w:sz w:val="20"/>
                <w:szCs w:val="20"/>
                <w:lang w:val="es-AR" w:bidi="ne-NP"/>
              </w:rPr>
            </w:pPr>
            <w:r>
              <w:rPr>
                <w:rFonts w:hint="eastAsia" w:ascii="宋体" w:hAnsi="宋体" w:eastAsia="宋体" w:cs="宋体"/>
                <w:i w:val="0"/>
                <w:iCs w:val="0"/>
                <w:color w:val="000000"/>
                <w:kern w:val="0"/>
                <w:sz w:val="20"/>
                <w:szCs w:val="20"/>
                <w:u w:val="none"/>
                <w:lang w:val="en-US" w:eastAsia="zh-CN" w:bidi="ar"/>
              </w:rPr>
              <w:t>课程建设服务</w:t>
            </w:r>
          </w:p>
        </w:tc>
        <w:tc>
          <w:tcPr>
            <w:tcW w:w="7003"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eastAsia" w:ascii="宋体" w:hAnsi="宋体" w:eastAsia="宋体" w:cs="宋体"/>
                <w:sz w:val="20"/>
                <w:szCs w:val="20"/>
                <w:lang w:eastAsia="zh-CN" w:bidi="ne-NP"/>
              </w:rPr>
            </w:pPr>
            <w:r>
              <w:rPr>
                <w:rFonts w:hint="eastAsia" w:ascii="宋体" w:hAnsi="宋体" w:cs="宋体"/>
                <w:sz w:val="20"/>
                <w:szCs w:val="20"/>
                <w:lang w:val="es-AR" w:bidi="ne-NP"/>
              </w:rPr>
              <w:t>在教学平台上按照课程教学计划建设完整线上课程，</w:t>
            </w:r>
            <w:r>
              <w:rPr>
                <w:rFonts w:hint="eastAsia" w:ascii="宋体" w:hAnsi="宋体" w:cs="宋体"/>
                <w:sz w:val="20"/>
                <w:szCs w:val="20"/>
              </w:rPr>
              <w:t>有专业人员辅助老师</w:t>
            </w:r>
            <w:r>
              <w:rPr>
                <w:rFonts w:hint="eastAsia" w:ascii="宋体" w:hAnsi="宋体" w:cs="宋体"/>
                <w:sz w:val="20"/>
                <w:szCs w:val="20"/>
                <w:lang w:val="es-AR" w:bidi="ne-NP"/>
              </w:rPr>
              <w:t>包括：课程门户完善：课程简介、教学团队介绍、学时学分、课程教学目标、参考教材等</w:t>
            </w:r>
            <w:r>
              <w:rPr>
                <w:rFonts w:hint="eastAsia" w:ascii="宋体" w:hAnsi="宋体" w:cs="宋体"/>
                <w:sz w:val="20"/>
                <w:szCs w:val="20"/>
                <w:lang w:val="es-AR" w:eastAsia="zh-CN" w:bidi="ne-N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137" w:type="dxa"/>
            <w:vMerge w:val="continue"/>
            <w:tcBorders>
              <w:left w:val="single" w:color="000000" w:sz="4" w:space="0"/>
              <w:right w:val="single" w:color="000000" w:sz="4" w:space="0"/>
            </w:tcBorders>
            <w:noWrap w:val="0"/>
            <w:vAlign w:val="center"/>
          </w:tcPr>
          <w:p>
            <w:pPr>
              <w:snapToGrid w:val="0"/>
              <w:jc w:val="center"/>
              <w:rPr>
                <w:rStyle w:val="35"/>
                <w:rFonts w:hint="eastAsia" w:ascii="宋体" w:hAnsi="宋体" w:cs="宋体"/>
                <w:sz w:val="20"/>
                <w:szCs w:val="20"/>
              </w:rPr>
            </w:pPr>
          </w:p>
        </w:tc>
        <w:tc>
          <w:tcPr>
            <w:tcW w:w="1715" w:type="dxa"/>
            <w:tcBorders>
              <w:top w:val="single" w:color="000000" w:sz="4" w:space="0"/>
              <w:left w:val="single" w:color="000000" w:sz="4" w:space="0"/>
              <w:right w:val="single" w:color="000000" w:sz="4" w:space="0"/>
            </w:tcBorders>
            <w:noWrap w:val="0"/>
            <w:vAlign w:val="center"/>
          </w:tcPr>
          <w:p>
            <w:pPr>
              <w:snapToGrid w:val="0"/>
              <w:jc w:val="center"/>
              <w:rPr>
                <w:rFonts w:hint="eastAsia" w:ascii="宋体" w:hAnsi="宋体" w:eastAsia="宋体" w:cs="宋体"/>
                <w:sz w:val="20"/>
                <w:szCs w:val="20"/>
                <w:lang w:val="en-US" w:eastAsia="zh-CN" w:bidi="ne-NP"/>
              </w:rPr>
            </w:pPr>
            <w:r>
              <w:rPr>
                <w:rFonts w:hint="eastAsia" w:ascii="宋体" w:hAnsi="宋体" w:cs="宋体"/>
                <w:sz w:val="20"/>
                <w:szCs w:val="20"/>
                <w:lang w:val="es-AR" w:bidi="ne-NP"/>
              </w:rPr>
              <w:t>课程运行</w:t>
            </w:r>
            <w:r>
              <w:rPr>
                <w:rFonts w:hint="eastAsia" w:ascii="宋体" w:hAnsi="宋体" w:cs="宋体"/>
                <w:sz w:val="20"/>
                <w:szCs w:val="20"/>
                <w:lang w:val="en-US" w:eastAsia="zh-CN" w:bidi="ne-NP"/>
              </w:rPr>
              <w:t>服务</w:t>
            </w:r>
          </w:p>
        </w:tc>
        <w:tc>
          <w:tcPr>
            <w:tcW w:w="7003"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eastAsia" w:ascii="宋体" w:hAnsi="宋体" w:cs="宋体"/>
                <w:sz w:val="20"/>
                <w:szCs w:val="20"/>
                <w:lang w:val="es-AR" w:bidi="ne-NP"/>
              </w:rPr>
            </w:pPr>
            <w:r>
              <w:rPr>
                <w:rFonts w:hint="eastAsia" w:ascii="宋体" w:hAnsi="宋体" w:cs="宋体"/>
                <w:sz w:val="20"/>
                <w:szCs w:val="20"/>
                <w:lang w:val="es-AR" w:bidi="ne-NP"/>
              </w:rPr>
              <w:t>1．根据教育部关于一流本科课程建设的实施意见，有专业人员协助课程团队制定课程运行计划，包括课程成绩权重设置，混合式教学设计，定期提供线上运行数据，根据数据督促教学团队加强该部分教学运行。</w:t>
            </w:r>
          </w:p>
          <w:p>
            <w:pPr>
              <w:snapToGrid w:val="0"/>
              <w:rPr>
                <w:rFonts w:hint="eastAsia" w:ascii="宋体" w:hAnsi="宋体" w:cs="宋体"/>
                <w:sz w:val="20"/>
                <w:szCs w:val="20"/>
                <w:lang w:val="es-AR" w:bidi="ne-NP"/>
              </w:rPr>
            </w:pPr>
            <w:r>
              <w:rPr>
                <w:rFonts w:hint="eastAsia" w:ascii="宋体" w:hAnsi="宋体" w:cs="宋体"/>
                <w:sz w:val="20"/>
                <w:szCs w:val="20"/>
                <w:lang w:val="es-AR" w:bidi="ne-NP"/>
              </w:rPr>
              <w:t>2.根据混合式运行方案，课前协助教师将预设教学活动添加至学习工具中，并关注教学活动使用中师生对教学工具的技术问题；</w:t>
            </w:r>
          </w:p>
          <w:p>
            <w:pPr>
              <w:snapToGrid w:val="0"/>
              <w:rPr>
                <w:rFonts w:hint="eastAsia" w:ascii="宋体" w:hAnsi="宋体" w:cs="宋体"/>
                <w:sz w:val="20"/>
                <w:szCs w:val="20"/>
                <w:lang w:val="es-AR" w:bidi="ne-NP"/>
              </w:rPr>
            </w:pPr>
            <w:r>
              <w:rPr>
                <w:rFonts w:hint="eastAsia" w:ascii="宋体" w:hAnsi="宋体" w:cs="宋体"/>
                <w:sz w:val="20"/>
                <w:szCs w:val="20"/>
                <w:lang w:val="es-AR" w:bidi="ne-NP"/>
              </w:rPr>
              <w:t>3.教学效果与评价：注重教学任务与活动设计，通过在线测试、线上辅助答疑、线上线下讨论、线上作业提交和批改等，促进问题交流和协作学习，提高学习效果。</w:t>
            </w:r>
          </w:p>
          <w:p>
            <w:pPr>
              <w:snapToGrid w:val="0"/>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sz w:val="20"/>
                <w:szCs w:val="20"/>
                <w:lang w:val="en-US" w:eastAsia="zh-CN" w:bidi="ne-NP"/>
              </w:rPr>
              <w:t>4.</w:t>
            </w:r>
            <w:r>
              <w:rPr>
                <w:rFonts w:hint="eastAsia" w:ascii="宋体" w:hAnsi="宋体" w:eastAsia="宋体" w:cs="宋体"/>
                <w:i w:val="0"/>
                <w:iCs w:val="0"/>
                <w:color w:val="000000"/>
                <w:kern w:val="0"/>
                <w:sz w:val="20"/>
                <w:szCs w:val="20"/>
                <w:u w:val="none"/>
                <w:lang w:val="en-US" w:eastAsia="zh-CN" w:bidi="ar"/>
              </w:rPr>
              <w:t>按照课程建设标准指定运行课程，优化诊改课程运行数据，课堂教学设计现场服务；提供课程运行数据，提供一流课程案例参考，协助进行各类比赛的运行与申报</w:t>
            </w:r>
          </w:p>
          <w:p>
            <w:pPr>
              <w:snapToGrid w:val="0"/>
              <w:rPr>
                <w:rFonts w:hint="eastAsia" w:ascii="宋体" w:hAnsi="宋体" w:cs="宋体"/>
                <w:sz w:val="20"/>
                <w:szCs w:val="20"/>
                <w:lang w:val="es-AR" w:bidi="ne-NP"/>
              </w:rPr>
            </w:pPr>
            <w:r>
              <w:rPr>
                <w:rStyle w:val="36"/>
                <w:rFonts w:hint="eastAsia" w:ascii="宋体" w:hAnsi="宋体" w:cs="宋体"/>
                <w:sz w:val="20"/>
                <w:szCs w:val="20"/>
              </w:rPr>
              <w:t>★</w:t>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sz w:val="20"/>
                <w:szCs w:val="20"/>
                <w:lang w:val="es-AR" w:bidi="ne-NP"/>
              </w:rPr>
              <w:t>提供课程运行质量报告，每一学期结束提供课程质量分析报告，包括整门课程的运行数据（课程视频资源数量，非视频资源数理，题库的题量，课程公告数量，学生人数、课程发布作业次数、发布考试次数、课程中教师发布讨论数量，学生发布讨论数量、课程通过学生人数等），详细地分析课程的运行数据，为下学期的课程运行提供教学优化方案。</w:t>
            </w:r>
          </w:p>
          <w:p>
            <w:pPr>
              <w:snapToGrid w:val="0"/>
              <w:rPr>
                <w:rFonts w:hint="default" w:eastAsia="宋体"/>
                <w:lang w:val="en-US" w:eastAsia="zh-CN"/>
              </w:rPr>
            </w:pPr>
            <w:r>
              <w:rPr>
                <w:rFonts w:hint="eastAsia" w:ascii="宋体" w:hAnsi="宋体" w:cs="宋体"/>
                <w:sz w:val="20"/>
                <w:szCs w:val="20"/>
                <w:lang w:val="en-US" w:eastAsia="zh-CN" w:bidi="ne-NP"/>
              </w:rPr>
              <w:t>6.</w:t>
            </w:r>
            <w:r>
              <w:rPr>
                <w:rFonts w:hint="eastAsia" w:ascii="宋体" w:hAnsi="宋体" w:cs="宋体"/>
                <w:sz w:val="20"/>
                <w:szCs w:val="20"/>
                <w:lang w:val="es-AR" w:eastAsia="zh-CN" w:bidi="ne-NP"/>
              </w:rPr>
              <w:t>提供专门的 APP 移动客户端，需支持 iOS 和 Android 系统。与教学系统能够对接，进行在线课程的学习、作业、考试、讨论、笔记、小组、成绩分析、学生管理， 支持课堂签到、抢答、问卷、讨论、选人、资料、直播等功能。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137" w:type="dxa"/>
            <w:vMerge w:val="continue"/>
            <w:tcBorders>
              <w:left w:val="single" w:color="000000" w:sz="4" w:space="0"/>
              <w:right w:val="single" w:color="000000" w:sz="4" w:space="0"/>
            </w:tcBorders>
            <w:noWrap w:val="0"/>
            <w:vAlign w:val="center"/>
          </w:tcPr>
          <w:p>
            <w:pPr>
              <w:snapToGrid w:val="0"/>
              <w:jc w:val="center"/>
              <w:rPr>
                <w:rStyle w:val="35"/>
                <w:rFonts w:hint="eastAsia" w:ascii="宋体" w:hAnsi="宋体" w:cs="宋体"/>
                <w:sz w:val="20"/>
                <w:szCs w:val="20"/>
              </w:rPr>
            </w:pPr>
          </w:p>
        </w:tc>
        <w:tc>
          <w:tcPr>
            <w:tcW w:w="1715" w:type="dxa"/>
            <w:tcBorders>
              <w:top w:val="single" w:color="000000" w:sz="4" w:space="0"/>
              <w:left w:val="single" w:color="000000" w:sz="4" w:space="0"/>
              <w:right w:val="single" w:color="000000" w:sz="4" w:space="0"/>
            </w:tcBorders>
            <w:noWrap w:val="0"/>
            <w:vAlign w:val="center"/>
          </w:tcPr>
          <w:p>
            <w:pPr>
              <w:snapToGrid w:val="0"/>
              <w:jc w:val="center"/>
              <w:rPr>
                <w:rFonts w:hint="eastAsia" w:ascii="宋体" w:hAnsi="宋体" w:cs="宋体"/>
                <w:sz w:val="20"/>
                <w:szCs w:val="20"/>
                <w:lang w:val="es-AR" w:bidi="ne-NP"/>
              </w:rPr>
            </w:pPr>
            <w:r>
              <w:rPr>
                <w:rFonts w:hint="eastAsia" w:ascii="宋体" w:hAnsi="宋体" w:eastAsia="宋体" w:cs="宋体"/>
                <w:i w:val="0"/>
                <w:iCs w:val="0"/>
                <w:color w:val="000000"/>
                <w:kern w:val="0"/>
                <w:sz w:val="20"/>
                <w:szCs w:val="20"/>
                <w:u w:val="none"/>
                <w:lang w:val="en-US" w:eastAsia="zh-CN" w:bidi="ar"/>
              </w:rPr>
              <w:t>知识图谱</w:t>
            </w:r>
            <w:r>
              <w:rPr>
                <w:rFonts w:hint="eastAsia" w:ascii="宋体" w:hAnsi="宋体" w:cs="宋体"/>
                <w:i w:val="0"/>
                <w:iCs w:val="0"/>
                <w:color w:val="000000"/>
                <w:kern w:val="0"/>
                <w:sz w:val="20"/>
                <w:szCs w:val="20"/>
                <w:u w:val="none"/>
                <w:lang w:val="en-US" w:eastAsia="zh-CN" w:bidi="ar"/>
              </w:rPr>
              <w:t>建设与培训</w:t>
            </w:r>
          </w:p>
        </w:tc>
        <w:tc>
          <w:tcPr>
            <w:tcW w:w="7003" w:type="dxa"/>
            <w:tcBorders>
              <w:top w:val="single" w:color="000000" w:sz="4" w:space="0"/>
              <w:left w:val="single" w:color="000000" w:sz="4" w:space="0"/>
              <w:bottom w:val="single" w:color="000000" w:sz="4" w:space="0"/>
              <w:right w:val="single" w:color="000000" w:sz="4" w:space="0"/>
            </w:tcBorders>
            <w:noWrap w:val="0"/>
            <w:vAlign w:val="top"/>
          </w:tcPr>
          <w:p>
            <w:pPr>
              <w:rPr>
                <w:rStyle w:val="36"/>
                <w:rFonts w:hint="eastAsia" w:ascii="宋体" w:hAnsi="宋体" w:cs="宋体" w:eastAsiaTheme="minorEastAsia"/>
                <w:b/>
                <w:bCs/>
                <w:sz w:val="20"/>
                <w:szCs w:val="20"/>
                <w:lang w:val="en-US" w:eastAsia="zh-CN"/>
              </w:rPr>
            </w:pPr>
            <w:r>
              <w:rPr>
                <w:rStyle w:val="36"/>
                <w:rFonts w:hint="eastAsia" w:ascii="宋体" w:hAnsi="宋体" w:cs="宋体" w:eastAsiaTheme="minorEastAsia"/>
                <w:b/>
                <w:bCs/>
                <w:sz w:val="20"/>
                <w:szCs w:val="20"/>
                <w:lang w:val="en-US" w:eastAsia="zh-CN"/>
              </w:rPr>
              <w:t>一、总体要求：</w:t>
            </w:r>
          </w:p>
          <w:p>
            <w:pPr>
              <w:rPr>
                <w:rStyle w:val="36"/>
                <w:rFonts w:hint="default" w:ascii="宋体" w:hAnsi="宋体" w:cs="宋体" w:eastAsiaTheme="minorEastAsia"/>
                <w:sz w:val="20"/>
                <w:szCs w:val="20"/>
                <w:lang w:val="en-US" w:eastAsia="zh-CN"/>
              </w:rPr>
            </w:pPr>
            <w:r>
              <w:rPr>
                <w:rStyle w:val="36"/>
                <w:rFonts w:hint="eastAsia" w:ascii="宋体" w:hAnsi="宋体" w:cs="宋体" w:eastAsiaTheme="minorEastAsia"/>
                <w:sz w:val="20"/>
                <w:szCs w:val="20"/>
                <w:lang w:val="en-US" w:eastAsia="zh-CN"/>
              </w:rPr>
              <w:t>1.</w:t>
            </w:r>
            <w:r>
              <w:rPr>
                <w:rStyle w:val="36"/>
                <w:rFonts w:hint="eastAsia" w:ascii="宋体" w:hAnsi="宋体" w:cs="宋体" w:eastAsiaTheme="minorEastAsia"/>
                <w:sz w:val="20"/>
                <w:szCs w:val="20"/>
                <w:lang w:eastAsia="zh-CN"/>
              </w:rPr>
              <w:t>供应商了解高校本科教学规律，具备课程设计的能力。</w:t>
            </w:r>
            <w:r>
              <w:rPr>
                <w:rStyle w:val="36"/>
                <w:rFonts w:hint="eastAsia" w:ascii="宋体" w:hAnsi="宋体" w:cs="宋体" w:eastAsiaTheme="minorEastAsia"/>
                <w:sz w:val="20"/>
                <w:szCs w:val="20"/>
                <w:lang w:val="en-US" w:eastAsia="zh-CN"/>
              </w:rPr>
              <w:t>提供的知识图谱平台需要与</w:t>
            </w:r>
            <w:r>
              <w:rPr>
                <w:rFonts w:hint="eastAsia" w:ascii="宋体" w:hAnsi="宋体" w:eastAsia="宋体" w:cs="宋体"/>
                <w:snapToGrid w:val="0"/>
                <w:color w:val="000000"/>
                <w:kern w:val="0"/>
                <w:sz w:val="20"/>
                <w:szCs w:val="20"/>
                <w:lang w:val="en-US" w:eastAsia="zh-CN"/>
              </w:rPr>
              <w:t>校本教学一体化平台整合对接。</w:t>
            </w:r>
          </w:p>
          <w:p>
            <w:pPr>
              <w:rPr>
                <w:rStyle w:val="36"/>
                <w:rFonts w:hint="default" w:ascii="宋体" w:hAnsi="宋体" w:cs="宋体" w:eastAsiaTheme="minorEastAsia"/>
                <w:sz w:val="20"/>
                <w:szCs w:val="20"/>
                <w:lang w:val="en-US" w:eastAsia="zh-CN"/>
              </w:rPr>
            </w:pPr>
            <w:r>
              <w:rPr>
                <w:rStyle w:val="36"/>
                <w:rFonts w:hint="eastAsia" w:ascii="宋体" w:hAnsi="宋体" w:cs="宋体" w:eastAsiaTheme="minorEastAsia"/>
                <w:sz w:val="20"/>
                <w:szCs w:val="20"/>
                <w:lang w:val="en-US" w:eastAsia="zh-CN"/>
              </w:rPr>
              <w:t>2</w:t>
            </w:r>
            <w:r>
              <w:rPr>
                <w:rStyle w:val="36"/>
                <w:rFonts w:hint="eastAsia" w:ascii="宋体" w:hAnsi="宋体" w:cs="宋体" w:eastAsiaTheme="minorEastAsia"/>
                <w:sz w:val="20"/>
                <w:szCs w:val="20"/>
                <w:lang w:eastAsia="zh-CN"/>
              </w:rPr>
              <w:t>.供应商协助课程教师团队进行</w:t>
            </w:r>
            <w:r>
              <w:rPr>
                <w:rStyle w:val="36"/>
                <w:rFonts w:hint="eastAsia" w:ascii="宋体" w:hAnsi="宋体" w:cs="宋体" w:eastAsiaTheme="minorEastAsia"/>
                <w:sz w:val="20"/>
                <w:szCs w:val="20"/>
                <w:lang w:val="en-US" w:eastAsia="zh-CN"/>
              </w:rPr>
              <w:t>知识图谱</w:t>
            </w:r>
            <w:r>
              <w:rPr>
                <w:rStyle w:val="36"/>
                <w:rFonts w:hint="eastAsia" w:ascii="宋体" w:hAnsi="宋体" w:cs="宋体" w:eastAsiaTheme="minorEastAsia"/>
                <w:sz w:val="20"/>
                <w:szCs w:val="20"/>
                <w:lang w:eastAsia="zh-CN"/>
              </w:rPr>
              <w:t>设计培训，专业课程顾问与老师深度沟通，收集课程相关资料。</w:t>
            </w:r>
          </w:p>
          <w:p>
            <w:pPr>
              <w:rPr>
                <w:rStyle w:val="36"/>
                <w:rFonts w:hint="eastAsia" w:ascii="宋体" w:hAnsi="宋体" w:cs="宋体"/>
                <w:sz w:val="20"/>
                <w:szCs w:val="20"/>
              </w:rPr>
            </w:pPr>
            <w:r>
              <w:rPr>
                <w:rStyle w:val="36"/>
                <w:rFonts w:hint="eastAsia" w:ascii="宋体" w:hAnsi="宋体" w:cs="宋体" w:eastAsiaTheme="minorEastAsia"/>
                <w:sz w:val="20"/>
                <w:szCs w:val="20"/>
                <w:lang w:val="en-US" w:eastAsia="zh-CN"/>
              </w:rPr>
              <w:t>3</w:t>
            </w:r>
            <w:r>
              <w:rPr>
                <w:rStyle w:val="36"/>
                <w:rFonts w:hint="eastAsia" w:ascii="宋体" w:hAnsi="宋体" w:cs="宋体" w:eastAsiaTheme="minorEastAsia"/>
                <w:sz w:val="20"/>
                <w:szCs w:val="20"/>
              </w:rPr>
              <w:t>.以课程为单位，构建知识图谱，为教师构建一个更高效地组织、利用并能持续更新扩展平台；为学生提供一个更好获取和理解课程知识体系的平台。实现通过构建智慧课程知识图谱，并且按照知识点粒度重组教学资源，并利用课程知识图谱串联整个教学过程，为个性、开放、精准的智能教育服务</w:t>
            </w:r>
            <w:r>
              <w:rPr>
                <w:rStyle w:val="36"/>
                <w:rFonts w:hint="eastAsia" w:ascii="宋体" w:hAnsi="宋体" w:cs="宋体"/>
                <w:sz w:val="20"/>
                <w:szCs w:val="20"/>
              </w:rPr>
              <w:t>提供基础支撑。</w:t>
            </w:r>
          </w:p>
          <w:p>
            <w:pPr>
              <w:rPr>
                <w:rStyle w:val="36"/>
                <w:rFonts w:hint="eastAsia" w:ascii="宋体" w:hAnsi="宋体" w:cs="宋体" w:eastAsiaTheme="minorEastAsia"/>
                <w:b/>
                <w:bCs/>
                <w:sz w:val="20"/>
                <w:szCs w:val="20"/>
                <w:lang w:val="en-US" w:eastAsia="zh-CN"/>
              </w:rPr>
            </w:pPr>
            <w:r>
              <w:rPr>
                <w:rStyle w:val="36"/>
                <w:rFonts w:hint="eastAsia" w:ascii="宋体" w:hAnsi="宋体" w:cs="宋体" w:eastAsiaTheme="minorEastAsia"/>
                <w:b/>
                <w:bCs/>
                <w:sz w:val="20"/>
                <w:szCs w:val="20"/>
                <w:lang w:val="en-US" w:eastAsia="zh-CN"/>
              </w:rPr>
              <w:t>二、功能要求：</w:t>
            </w:r>
          </w:p>
          <w:p>
            <w:pPr>
              <w:rPr>
                <w:rStyle w:val="36"/>
                <w:rFonts w:hint="default" w:ascii="宋体" w:hAnsi="宋体" w:cs="宋体" w:eastAsiaTheme="minorEastAsia"/>
                <w:b/>
                <w:bCs/>
                <w:sz w:val="20"/>
                <w:szCs w:val="20"/>
                <w:lang w:val="en-US" w:eastAsia="zh-CN"/>
              </w:rPr>
            </w:pPr>
            <w:r>
              <w:rPr>
                <w:rFonts w:hint="eastAsia" w:ascii="宋体" w:hAnsi="宋体" w:cs="宋体"/>
                <w:sz w:val="20"/>
                <w:szCs w:val="20"/>
              </w:rPr>
              <w:t>★</w:t>
            </w:r>
            <w:r>
              <w:rPr>
                <w:rStyle w:val="36"/>
                <w:rFonts w:hint="eastAsia" w:ascii="宋体" w:hAnsi="宋体" w:cs="宋体" w:eastAsiaTheme="minorEastAsia"/>
                <w:b w:val="0"/>
                <w:bCs w:val="0"/>
                <w:sz w:val="20"/>
                <w:szCs w:val="20"/>
                <w:lang w:val="en-US" w:eastAsia="zh-CN"/>
              </w:rPr>
              <w:t>1</w:t>
            </w:r>
            <w:r>
              <w:rPr>
                <w:rFonts w:hint="eastAsia" w:ascii="宋体" w:hAnsi="宋体" w:eastAsia="宋体" w:cs="宋体"/>
                <w:b w:val="0"/>
                <w:bCs w:val="0"/>
                <w:color w:val="000000"/>
                <w:sz w:val="20"/>
                <w:szCs w:val="20"/>
                <w:highlight w:val="none"/>
                <w:lang w:eastAsia="zh-CN"/>
              </w:rPr>
              <w:t>.</w:t>
            </w:r>
            <w:r>
              <w:rPr>
                <w:rFonts w:hint="eastAsia" w:ascii="宋体" w:hAnsi="宋体" w:eastAsia="宋体" w:cs="宋体"/>
                <w:color w:val="000000"/>
                <w:sz w:val="20"/>
                <w:szCs w:val="20"/>
                <w:highlight w:val="none"/>
                <w:lang w:eastAsia="zh-CN"/>
              </w:rPr>
              <w:t>支持支持系统智能识别视频内容，在视频时间点上自动打知识点标签，教师可以编辑修改；视频播放时学生可以定位到时间点观看对应知识点的视频讲解；</w:t>
            </w:r>
          </w:p>
          <w:p>
            <w:pPr>
              <w:rPr>
                <w:rStyle w:val="36"/>
                <w:rFonts w:hint="eastAsia" w:ascii="宋体" w:hAnsi="宋体" w:cs="宋体"/>
                <w:sz w:val="20"/>
                <w:szCs w:val="20"/>
              </w:rPr>
            </w:pPr>
            <w:r>
              <w:rPr>
                <w:rFonts w:hint="eastAsia" w:ascii="宋体" w:hAnsi="宋体" w:cs="宋体"/>
                <w:sz w:val="20"/>
                <w:szCs w:val="20"/>
              </w:rPr>
              <w:t>★</w:t>
            </w:r>
            <w:r>
              <w:rPr>
                <w:rStyle w:val="36"/>
                <w:rFonts w:hint="eastAsia" w:ascii="宋体" w:hAnsi="宋体" w:cs="宋体"/>
                <w:sz w:val="20"/>
                <w:szCs w:val="20"/>
              </w:rPr>
              <w:t>2.学生可以进行自我检测，并生成学习报告，并进行学习路径规划。教师可以进行学习监控和智能督学，将精准检测，内容推送，路径规划，整个流程作为动态闭环，稳步提升学生知识掌握程度。</w:t>
            </w:r>
          </w:p>
          <w:p>
            <w:pPr>
              <w:rPr>
                <w:rStyle w:val="36"/>
                <w:rFonts w:hint="eastAsia" w:ascii="宋体" w:hAnsi="宋体" w:cs="宋体"/>
                <w:sz w:val="20"/>
                <w:szCs w:val="20"/>
              </w:rPr>
            </w:pPr>
            <w:r>
              <w:rPr>
                <w:rStyle w:val="36"/>
                <w:rFonts w:hint="eastAsia" w:ascii="宋体" w:hAnsi="宋体" w:cs="宋体"/>
                <w:sz w:val="20"/>
                <w:szCs w:val="20"/>
              </w:rPr>
              <w:t>传资源，并查看知识点关联资源数量，方便教师按知识点管理资源；</w:t>
            </w:r>
          </w:p>
          <w:p>
            <w:pPr>
              <w:rPr>
                <w:rStyle w:val="36"/>
                <w:rFonts w:hint="eastAsia" w:ascii="宋体" w:hAnsi="宋体" w:cs="宋体"/>
                <w:sz w:val="20"/>
                <w:szCs w:val="20"/>
              </w:rPr>
            </w:pPr>
            <w:r>
              <w:rPr>
                <w:rStyle w:val="36"/>
                <w:rFonts w:hint="eastAsia" w:ascii="宋体" w:hAnsi="宋体" w:cs="宋体"/>
                <w:sz w:val="20"/>
                <w:szCs w:val="20"/>
              </w:rPr>
              <w:t>3.支持教师查看班级整体知识点分析统计，查看知识点平均完成率、平均掌握率、完成率分布和掌握率分布等；</w:t>
            </w:r>
          </w:p>
          <w:p>
            <w:pPr>
              <w:rPr>
                <w:rStyle w:val="36"/>
                <w:rFonts w:hint="eastAsia" w:ascii="宋体" w:hAnsi="宋体" w:cs="宋体"/>
                <w:sz w:val="20"/>
                <w:szCs w:val="20"/>
              </w:rPr>
            </w:pPr>
            <w:r>
              <w:rPr>
                <w:rStyle w:val="36"/>
                <w:rFonts w:hint="eastAsia" w:ascii="宋体" w:hAnsi="宋体" w:cs="宋体"/>
                <w:sz w:val="20"/>
                <w:szCs w:val="20"/>
              </w:rPr>
              <w:t>4.支持按知识点查看每个知识点的关联学习资源数、平均完成率、平均掌握率、课程资料数、课程资料人均阅读情况等；</w:t>
            </w:r>
          </w:p>
          <w:p>
            <w:pPr>
              <w:widowControl/>
              <w:spacing w:line="315" w:lineRule="atLeast"/>
              <w:jc w:val="left"/>
              <w:rPr>
                <w:rStyle w:val="36"/>
                <w:rFonts w:hint="eastAsia" w:ascii="宋体" w:hAnsi="宋体" w:cs="宋体"/>
                <w:sz w:val="20"/>
                <w:szCs w:val="20"/>
              </w:rPr>
            </w:pPr>
            <w:r>
              <w:rPr>
                <w:rStyle w:val="36"/>
                <w:rFonts w:hint="eastAsia" w:ascii="宋体" w:hAnsi="宋体" w:cs="宋体"/>
                <w:sz w:val="20"/>
                <w:szCs w:val="20"/>
              </w:rPr>
              <w:t>5.支持查看单个知识点的班级统计分析详情和推荐资源，包括此知识点的平均完成率、最高掌握率、最低掌握率、平均掌握率、每个学生的此知识点完成情况和掌握情况、此知识点的每个教学任务的平均完成情况、掌握情况等，以及查看此知识点的课程资源和系统推荐的拓展资源，支持教师添加拓展资源到课程，方便教师共享给学生阅读观看。</w:t>
            </w:r>
          </w:p>
          <w:p>
            <w:pPr>
              <w:widowControl/>
              <w:spacing w:line="315" w:lineRule="atLeast"/>
              <w:jc w:val="left"/>
              <w:rPr>
                <w:rFonts w:hint="eastAsia" w:ascii="宋体" w:hAnsi="宋体" w:eastAsia="宋体" w:cs="宋体"/>
                <w:color w:val="auto"/>
                <w:kern w:val="0"/>
                <w:sz w:val="20"/>
                <w:szCs w:val="20"/>
              </w:rPr>
            </w:pPr>
            <w:r>
              <w:rPr>
                <w:rStyle w:val="36"/>
                <w:rFonts w:hint="eastAsia" w:ascii="宋体" w:hAnsi="宋体" w:cs="宋体"/>
                <w:sz w:val="20"/>
                <w:szCs w:val="20"/>
                <w:lang w:val="en-US" w:eastAsia="zh-CN"/>
              </w:rPr>
              <w:t>6.</w:t>
            </w:r>
            <w:r>
              <w:rPr>
                <w:rFonts w:hint="eastAsia" w:ascii="宋体" w:hAnsi="宋体" w:eastAsia="宋体" w:cs="宋体"/>
                <w:color w:val="auto"/>
                <w:kern w:val="0"/>
                <w:sz w:val="20"/>
                <w:szCs w:val="20"/>
              </w:rPr>
              <w:t>作业与考试</w:t>
            </w:r>
          </w:p>
          <w:p>
            <w:pPr>
              <w:widowControl/>
              <w:spacing w:line="315" w:lineRule="atLeast"/>
              <w:jc w:val="left"/>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lang w:eastAsia="zh-CN"/>
              </w:rPr>
              <w:t>）</w:t>
            </w:r>
            <w:r>
              <w:rPr>
                <w:rFonts w:hint="eastAsia" w:ascii="宋体" w:hAnsi="宋体" w:eastAsia="宋体" w:cs="宋体"/>
                <w:color w:val="auto"/>
                <w:kern w:val="0"/>
                <w:sz w:val="20"/>
                <w:szCs w:val="20"/>
              </w:rPr>
              <w:t>具有从题库或以前的测验中随机生成新的试卷与作业的功能，教师可以对试卷和作业中的试题进行添加、修改、删除、任意排序、预览等功能，可以对试题设定分值，作业与试卷可多次重复使用。</w:t>
            </w:r>
          </w:p>
          <w:p>
            <w:pPr>
              <w:widowControl/>
              <w:spacing w:line="315" w:lineRule="atLeast"/>
              <w:jc w:val="left"/>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lang w:eastAsia="zh-CN"/>
              </w:rPr>
              <w:t>）</w:t>
            </w:r>
            <w:r>
              <w:rPr>
                <w:rFonts w:hint="eastAsia" w:ascii="宋体" w:hAnsi="宋体" w:eastAsia="宋体" w:cs="宋体"/>
                <w:color w:val="auto"/>
                <w:kern w:val="0"/>
                <w:sz w:val="20"/>
                <w:szCs w:val="20"/>
              </w:rPr>
              <w:t>作业需具备生生互评的功能，设为互评的作业，学生间对作业相互打分，教师可参与最后的评估。</w:t>
            </w:r>
          </w:p>
          <w:p>
            <w:pPr>
              <w:widowControl/>
              <w:spacing w:line="315" w:lineRule="atLeast"/>
              <w:jc w:val="left"/>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lang w:eastAsia="zh-CN"/>
              </w:rPr>
              <w:t>）</w:t>
            </w:r>
            <w:r>
              <w:rPr>
                <w:rFonts w:hint="eastAsia" w:ascii="宋体" w:hAnsi="宋体" w:eastAsia="宋体" w:cs="宋体"/>
                <w:color w:val="auto"/>
                <w:kern w:val="0"/>
                <w:sz w:val="20"/>
                <w:szCs w:val="20"/>
              </w:rPr>
              <w:t>支持进行作业查重，对于简答题、论述题等，可进行相似度分析。</w:t>
            </w:r>
          </w:p>
          <w:p>
            <w:pPr>
              <w:widowControl/>
              <w:spacing w:line="315"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支持生成试卷分析报告，报告中需至少包含试卷难度、区分度统计，成绩正态分布，试卷信度等分析数据项。对于同一套作业，可以设置题目乱序。</w:t>
            </w:r>
          </w:p>
          <w:p>
            <w:pPr>
              <w:rPr>
                <w:rStyle w:val="36"/>
                <w:rFonts w:hint="eastAsia" w:ascii="宋体" w:hAnsi="宋体" w:cs="宋体"/>
                <w:sz w:val="20"/>
                <w:szCs w:val="20"/>
              </w:rPr>
            </w:pPr>
            <w:r>
              <w:rPr>
                <w:rStyle w:val="36"/>
                <w:rFonts w:hint="eastAsia" w:ascii="宋体" w:hAnsi="宋体" w:cs="宋体"/>
                <w:sz w:val="20"/>
                <w:szCs w:val="20"/>
                <w:lang w:eastAsia="zh-CN"/>
              </w:rPr>
              <w:t>（</w:t>
            </w:r>
            <w:r>
              <w:rPr>
                <w:rStyle w:val="36"/>
                <w:rFonts w:hint="eastAsia" w:ascii="宋体" w:hAnsi="宋体" w:cs="宋体"/>
                <w:sz w:val="20"/>
                <w:szCs w:val="20"/>
                <w:lang w:val="en-US" w:eastAsia="zh-CN"/>
              </w:rPr>
              <w:t>4</w:t>
            </w:r>
            <w:r>
              <w:rPr>
                <w:rStyle w:val="36"/>
                <w:rFonts w:hint="eastAsia" w:ascii="宋体" w:hAnsi="宋体" w:cs="宋体"/>
                <w:sz w:val="20"/>
                <w:szCs w:val="20"/>
                <w:lang w:eastAsia="zh-CN"/>
              </w:rPr>
              <w:t>）</w:t>
            </w:r>
            <w:r>
              <w:rPr>
                <w:rStyle w:val="36"/>
                <w:rFonts w:hint="eastAsia" w:ascii="宋体" w:hAnsi="宋体" w:cs="宋体"/>
                <w:sz w:val="20"/>
                <w:szCs w:val="20"/>
              </w:rPr>
              <w:t>为保障系统题库安全，题库建设者可为自己所负责的的题库设置安全口令，只有输入安全口令才能进入题库，避免因题库泄露导致考试事故的发生。</w:t>
            </w:r>
          </w:p>
          <w:p>
            <w:pPr>
              <w:rPr>
                <w:rFonts w:hint="eastAsia" w:ascii="宋体" w:hAnsi="宋体" w:eastAsia="宋体" w:cs="宋体"/>
                <w:color w:val="auto"/>
                <w:kern w:val="0"/>
                <w:sz w:val="20"/>
                <w:szCs w:val="20"/>
              </w:rPr>
            </w:pPr>
            <w:r>
              <w:rPr>
                <w:rFonts w:hint="eastAsia" w:ascii="宋体" w:hAnsi="宋体" w:cs="宋体"/>
                <w:color w:val="auto"/>
                <w:kern w:val="0"/>
                <w:sz w:val="20"/>
                <w:szCs w:val="20"/>
                <w:lang w:val="en-US" w:eastAsia="zh-CN"/>
              </w:rPr>
              <w:t>7.</w:t>
            </w:r>
            <w:r>
              <w:rPr>
                <w:rFonts w:hint="eastAsia" w:ascii="宋体" w:hAnsi="宋体" w:eastAsia="宋体" w:cs="宋体"/>
                <w:color w:val="auto"/>
                <w:kern w:val="0"/>
                <w:sz w:val="20"/>
                <w:szCs w:val="20"/>
              </w:rPr>
              <w:t>课程总览：课程总览中会自动统计本门课程详细情况，通过课程总览的的监控，教师可以直观快速地了解课程的进展详情。包括学生数、访问数、讨论数的统计，任务进度、视频观看时长、学生活跃度等等大量数据累计的可视化呈现。</w:t>
            </w:r>
          </w:p>
          <w:p>
            <w:pP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Hans"/>
              </w:rPr>
              <w:t>提供的</w:t>
            </w:r>
            <w:r>
              <w:rPr>
                <w:rFonts w:hint="eastAsia" w:ascii="宋体" w:hAnsi="宋体" w:eastAsia="宋体" w:cs="宋体"/>
                <w:color w:val="auto"/>
                <w:kern w:val="0"/>
                <w:sz w:val="20"/>
                <w:szCs w:val="20"/>
              </w:rPr>
              <w:t>课程运行</w:t>
            </w:r>
            <w:r>
              <w:rPr>
                <w:rFonts w:hint="eastAsia" w:ascii="宋体" w:hAnsi="宋体" w:eastAsia="宋体" w:cs="宋体"/>
                <w:color w:val="auto"/>
                <w:kern w:val="0"/>
                <w:sz w:val="20"/>
                <w:szCs w:val="20"/>
                <w:lang w:eastAsia="zh-Hans"/>
              </w:rPr>
              <w:t>平台须支持内容安全检测：支持模型检测能力，基于文本模型，通过对文本进行聚类和语义分析进行敏感识别，也可以对用户自定义的敏感内容进行检测</w:t>
            </w:r>
            <w:r>
              <w:rPr>
                <w:rFonts w:hint="eastAsia" w:ascii="宋体" w:hAnsi="宋体" w:eastAsia="宋体" w:cs="宋体"/>
                <w:color w:val="auto"/>
                <w:kern w:val="0"/>
                <w:sz w:val="20"/>
                <w:szCs w:val="20"/>
              </w:rPr>
              <w:t>;支持对离线视频进行敏感内容检测; 支持敏感文本、图片、文档在线检测功能；支持自定义敏感关键词、敏感忽略词、用户黑白名单、图片名单。支持通过用户风险统计、垃圾发布量、垃圾发布率的维度统计用户风险。</w:t>
            </w:r>
          </w:p>
          <w:p>
            <w:pP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w:t>
            </w:r>
            <w:r>
              <w:rPr>
                <w:rFonts w:hint="eastAsia" w:ascii="宋体" w:hAnsi="宋体" w:eastAsia="宋体" w:cs="宋体"/>
                <w:color w:val="auto"/>
                <w:kern w:val="0"/>
                <w:sz w:val="20"/>
                <w:szCs w:val="20"/>
              </w:rPr>
              <w:t>.实时舆情：支持将小组、讨论、章节等业务来源的文本数据进行自然语言理解，并根据文本判断发布人的情感倾向，包括正面、中立、负面等倾向。</w:t>
            </w:r>
          </w:p>
          <w:p>
            <w:pPr>
              <w:rPr>
                <w:rStyle w:val="36"/>
                <w:rFonts w:hint="eastAsia" w:ascii="宋体" w:hAnsi="宋体" w:cs="宋体" w:eastAsiaTheme="minorEastAsia"/>
                <w:b/>
                <w:bCs/>
                <w:sz w:val="20"/>
                <w:szCs w:val="20"/>
                <w:lang w:val="en-US" w:eastAsia="zh-CN"/>
              </w:rPr>
            </w:pPr>
            <w:r>
              <w:rPr>
                <w:rStyle w:val="36"/>
                <w:rFonts w:hint="eastAsia" w:ascii="宋体" w:hAnsi="宋体" w:cs="宋体"/>
                <w:b/>
                <w:bCs/>
                <w:sz w:val="20"/>
                <w:szCs w:val="20"/>
                <w:lang w:val="en-US" w:eastAsia="zh-CN"/>
              </w:rPr>
              <w:t>三、智能路径规划与资源推荐</w:t>
            </w:r>
          </w:p>
          <w:p>
            <w:pPr>
              <w:rPr>
                <w:rStyle w:val="36"/>
                <w:rFonts w:hint="eastAsia" w:ascii="宋体" w:hAnsi="宋体" w:cs="宋体" w:eastAsiaTheme="minorEastAsia"/>
                <w:sz w:val="20"/>
                <w:szCs w:val="20"/>
                <w:lang w:val="en-US" w:eastAsia="zh-CN"/>
              </w:rPr>
            </w:pPr>
            <w:r>
              <w:rPr>
                <w:rStyle w:val="36"/>
                <w:rFonts w:hint="eastAsia" w:ascii="宋体" w:hAnsi="宋体" w:cs="宋体" w:eastAsiaTheme="minorEastAsia"/>
                <w:sz w:val="20"/>
                <w:szCs w:val="20"/>
                <w:lang w:val="en-US" w:eastAsia="zh-CN"/>
              </w:rPr>
              <w:t>1.支持学生查看基于知识点的智能学习路径，系统根据学生知识点掌握情况，智能规划知识点学习路径，学生可以按学习路径进行知识点的学习和巩固。提供的资源库能与校内网络教学平台无缝对接，对接后，教师可在平台直接引用、调取资源用于</w:t>
            </w:r>
            <w:r>
              <w:rPr>
                <w:rStyle w:val="36"/>
                <w:rFonts w:hint="eastAsia" w:ascii="宋体" w:hAnsi="宋体" w:cs="宋体"/>
                <w:sz w:val="20"/>
                <w:szCs w:val="20"/>
                <w:lang w:val="en-US" w:eastAsia="zh-CN"/>
              </w:rPr>
              <w:t>知识图谱</w:t>
            </w:r>
            <w:r>
              <w:rPr>
                <w:rStyle w:val="36"/>
                <w:rFonts w:hint="eastAsia" w:ascii="宋体" w:hAnsi="宋体" w:cs="宋体"/>
                <w:sz w:val="20"/>
                <w:szCs w:val="20"/>
              </w:rPr>
              <w:t>建设</w:t>
            </w:r>
            <w:r>
              <w:rPr>
                <w:rStyle w:val="36"/>
                <w:rFonts w:hint="eastAsia" w:ascii="宋体" w:hAnsi="宋体" w:cs="宋体" w:eastAsiaTheme="minorEastAsia"/>
                <w:sz w:val="20"/>
                <w:szCs w:val="20"/>
                <w:lang w:val="en-US" w:eastAsia="zh-CN"/>
              </w:rPr>
              <w:t>；</w:t>
            </w:r>
          </w:p>
          <w:p>
            <w:pPr>
              <w:rPr>
                <w:rStyle w:val="36"/>
                <w:rFonts w:hint="eastAsia" w:ascii="宋体" w:hAnsi="宋体" w:cs="宋体" w:eastAsiaTheme="minorEastAsia"/>
                <w:sz w:val="20"/>
                <w:szCs w:val="20"/>
                <w:lang w:val="en-US" w:eastAsia="zh-CN"/>
              </w:rPr>
            </w:pPr>
            <w:r>
              <w:rPr>
                <w:rStyle w:val="36"/>
                <w:rFonts w:hint="eastAsia" w:ascii="宋体" w:hAnsi="宋体" w:cs="宋体"/>
                <w:sz w:val="20"/>
                <w:szCs w:val="20"/>
              </w:rPr>
              <w:t>★</w:t>
            </w:r>
            <w:r>
              <w:rPr>
                <w:rStyle w:val="36"/>
                <w:rFonts w:hint="eastAsia" w:ascii="宋体" w:hAnsi="宋体" w:cs="宋体" w:eastAsiaTheme="minorEastAsia"/>
                <w:sz w:val="20"/>
                <w:szCs w:val="20"/>
                <w:lang w:val="en-US" w:eastAsia="zh-CN"/>
              </w:rPr>
              <w:t>2. 支持按照知识点，系统智能推荐拓展资源给学生学习；富媒体资源库中的资源需涵盖，多种电子书、多种期刊，可以进行在线阅读，可以进行文字摘录直接引用到课程进行备课；提供学术视频，电子图书，电子书、学术视频等资源必须取得著作权人的授权，无版权问题；提供参考资料及课程资源链接。</w:t>
            </w:r>
          </w:p>
          <w:p>
            <w:pPr>
              <w:rPr>
                <w:rStyle w:val="36"/>
                <w:rFonts w:hint="eastAsia" w:ascii="宋体" w:hAnsi="宋体" w:cs="宋体" w:eastAsiaTheme="minorEastAsia"/>
                <w:sz w:val="20"/>
                <w:szCs w:val="20"/>
                <w:lang w:val="en-US" w:eastAsia="zh-CN"/>
              </w:rPr>
            </w:pPr>
            <w:r>
              <w:rPr>
                <w:rStyle w:val="36"/>
                <w:rFonts w:hint="eastAsia" w:ascii="宋体" w:hAnsi="宋体" w:cs="宋体"/>
                <w:sz w:val="20"/>
                <w:szCs w:val="20"/>
              </w:rPr>
              <w:t>★</w:t>
            </w:r>
            <w:r>
              <w:rPr>
                <w:rStyle w:val="36"/>
                <w:rFonts w:hint="eastAsia" w:ascii="宋体" w:hAnsi="宋体" w:cs="宋体" w:eastAsiaTheme="minorEastAsia"/>
                <w:sz w:val="20"/>
                <w:szCs w:val="20"/>
                <w:lang w:val="en-US" w:eastAsia="zh-CN"/>
              </w:rPr>
              <w:t>3.提供的知识图谱能与校内网络教学平台资源对接，学校教师可在平台直接引用、调取资源用于知识图谱建设。</w:t>
            </w:r>
          </w:p>
          <w:p>
            <w:pPr>
              <w:rPr>
                <w:rStyle w:val="36"/>
                <w:rFonts w:hint="eastAsia" w:ascii="宋体" w:hAnsi="宋体" w:cs="宋体" w:eastAsiaTheme="minorEastAsia"/>
                <w:sz w:val="20"/>
                <w:szCs w:val="20"/>
                <w:lang w:val="en-US" w:eastAsia="zh-CN"/>
              </w:rPr>
            </w:pPr>
            <w:r>
              <w:rPr>
                <w:rStyle w:val="36"/>
                <w:rFonts w:hint="eastAsia" w:ascii="宋体" w:hAnsi="宋体" w:cs="宋体" w:eastAsiaTheme="minorEastAsia"/>
                <w:sz w:val="20"/>
                <w:szCs w:val="20"/>
                <w:lang w:val="en-US" w:eastAsia="zh-CN"/>
              </w:rPr>
              <w:t xml:space="preserve">4.支持将学校网络教学平台的公共资源与课程中的资源库上传资源的时候进行知识点的标记，一个资源可以支持标记多个知识点；                   </w:t>
            </w:r>
          </w:p>
          <w:p>
            <w:pPr>
              <w:rPr>
                <w:rStyle w:val="36"/>
                <w:rFonts w:hint="eastAsia" w:ascii="宋体" w:hAnsi="宋体" w:cs="宋体" w:eastAsiaTheme="minorEastAsia"/>
                <w:sz w:val="20"/>
                <w:szCs w:val="20"/>
                <w:lang w:val="en-US" w:eastAsia="zh-CN"/>
              </w:rPr>
            </w:pPr>
            <w:r>
              <w:rPr>
                <w:rStyle w:val="36"/>
                <w:rFonts w:hint="eastAsia" w:ascii="宋体" w:hAnsi="宋体" w:cs="宋体" w:eastAsiaTheme="minorEastAsia"/>
                <w:sz w:val="20"/>
                <w:szCs w:val="20"/>
                <w:lang w:val="en-US" w:eastAsia="zh-CN"/>
              </w:rPr>
              <w:t xml:space="preserve">5.资源详情页支持显示资源标记的知识点；        </w:t>
            </w:r>
          </w:p>
          <w:p>
            <w:pPr>
              <w:snapToGrid w:val="0"/>
              <w:rPr>
                <w:rFonts w:hint="eastAsia" w:ascii="宋体" w:hAnsi="宋体" w:cs="宋体"/>
                <w:sz w:val="20"/>
                <w:szCs w:val="20"/>
                <w:lang w:val="es-AR" w:bidi="ne-NP"/>
              </w:rPr>
            </w:pPr>
            <w:r>
              <w:rPr>
                <w:rStyle w:val="36"/>
                <w:rFonts w:hint="eastAsia" w:ascii="宋体" w:hAnsi="宋体" w:cs="宋体" w:eastAsiaTheme="minorEastAsia"/>
                <w:sz w:val="20"/>
                <w:szCs w:val="20"/>
                <w:lang w:val="en-US" w:eastAsia="zh-CN"/>
              </w:rPr>
              <w:t>6.支持课程可持续性建设，可按照专业（群）生成知识图谱，对应知识点可关联相关的数据资源库。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137" w:type="dxa"/>
            <w:tcBorders>
              <w:left w:val="single" w:color="000000" w:sz="4" w:space="0"/>
              <w:right w:val="single" w:color="000000" w:sz="4" w:space="0"/>
            </w:tcBorders>
            <w:noWrap w:val="0"/>
            <w:vAlign w:val="center"/>
          </w:tcPr>
          <w:p>
            <w:pPr>
              <w:snapToGrid w:val="0"/>
              <w:rPr>
                <w:rFonts w:hint="eastAsia" w:ascii="宋体" w:hAnsi="宋体" w:cs="宋体"/>
                <w:sz w:val="20"/>
                <w:szCs w:val="20"/>
                <w:lang w:bidi="ne-NP"/>
              </w:rPr>
            </w:pPr>
            <w:r>
              <w:rPr>
                <w:rFonts w:hint="eastAsia" w:ascii="宋体" w:hAnsi="宋体" w:cs="宋体"/>
                <w:sz w:val="20"/>
                <w:szCs w:val="20"/>
                <w:lang w:val="es-AR" w:bidi="ne-NP"/>
              </w:rPr>
              <w:t>投标要求</w:t>
            </w:r>
          </w:p>
        </w:tc>
        <w:tc>
          <w:tcPr>
            <w:tcW w:w="8718"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宋体" w:hAnsi="宋体" w:cs="宋体" w:eastAsiaTheme="minorEastAsia"/>
                <w:sz w:val="20"/>
                <w:szCs w:val="20"/>
                <w:lang w:val="en-US" w:eastAsia="zh-CN" w:bidi="ne-NP"/>
              </w:rPr>
            </w:pPr>
            <w:r>
              <w:rPr>
                <w:rFonts w:hint="eastAsia" w:ascii="宋体" w:hAnsi="宋体" w:cs="宋体"/>
                <w:sz w:val="20"/>
                <w:szCs w:val="20"/>
                <w:lang w:val="es-AR" w:bidi="ne-NP"/>
              </w:rPr>
              <w:t>技术指标中，带“★”的为重要指标，中标供应商需在中标后2个工作日内到</w:t>
            </w:r>
            <w:r>
              <w:rPr>
                <w:rFonts w:hint="eastAsia" w:ascii="宋体" w:hAnsi="宋体" w:cs="宋体"/>
                <w:sz w:val="20"/>
                <w:szCs w:val="20"/>
                <w:lang w:val="es-AR" w:eastAsia="zh-CN" w:bidi="ne-NP"/>
              </w:rPr>
              <w:t>采购人使用管理部门</w:t>
            </w:r>
            <w:r>
              <w:rPr>
                <w:rFonts w:hint="eastAsia" w:ascii="宋体" w:hAnsi="宋体" w:cs="宋体"/>
                <w:sz w:val="20"/>
                <w:szCs w:val="20"/>
                <w:lang w:val="es-AR" w:bidi="ne-NP"/>
              </w:rPr>
              <w:t>进行</w:t>
            </w:r>
            <w:r>
              <w:rPr>
                <w:rFonts w:hint="eastAsia" w:ascii="宋体" w:hAnsi="宋体" w:cs="宋体"/>
                <w:sz w:val="20"/>
                <w:szCs w:val="20"/>
                <w:lang w:val="es-AR" w:eastAsia="zh-CN" w:bidi="ne-NP"/>
              </w:rPr>
              <w:t>详细</w:t>
            </w:r>
            <w:r>
              <w:rPr>
                <w:rFonts w:hint="eastAsia" w:ascii="宋体" w:hAnsi="宋体" w:cs="宋体"/>
                <w:sz w:val="20"/>
                <w:szCs w:val="20"/>
                <w:lang w:val="es-AR" w:bidi="ne-NP"/>
              </w:rPr>
              <w:t>演示。如出现虚假响应，</w:t>
            </w:r>
            <w:r>
              <w:rPr>
                <w:rFonts w:hint="eastAsia" w:ascii="宋体" w:hAnsi="宋体" w:cs="宋体"/>
                <w:sz w:val="20"/>
                <w:szCs w:val="20"/>
                <w:lang w:val="es-AR" w:eastAsia="zh-CN" w:bidi="ne-NP"/>
              </w:rPr>
              <w:t>采购人将取消其中标资格，该公司须</w:t>
            </w:r>
            <w:r>
              <w:rPr>
                <w:rFonts w:hint="eastAsia" w:ascii="宋体" w:hAnsi="宋体" w:cs="宋体"/>
                <w:sz w:val="20"/>
                <w:szCs w:val="20"/>
                <w:lang w:val="es-AR" w:bidi="ne-NP"/>
              </w:rPr>
              <w:t>承担由此而引起的一切法律责任和费用</w:t>
            </w:r>
            <w:r>
              <w:rPr>
                <w:rFonts w:hint="eastAsia" w:ascii="宋体" w:hAnsi="宋体" w:cs="宋体"/>
                <w:sz w:val="20"/>
                <w:szCs w:val="20"/>
                <w:lang w:val="es-AR" w:eastAsia="zh-CN" w:bidi="ne-NP"/>
              </w:rPr>
              <w:t>。采购人有权选择成交候选人排序第二的作为成交供应商或重新组织采购。</w:t>
            </w:r>
          </w:p>
        </w:tc>
      </w:tr>
    </w:tbl>
    <w:p>
      <w:pPr>
        <w:tabs>
          <w:tab w:val="left" w:pos="720"/>
        </w:tabs>
        <w:adjustRightInd w:val="0"/>
        <w:snapToGrid w:val="0"/>
        <w:spacing w:line="360" w:lineRule="auto"/>
        <w:ind w:firstLine="708" w:firstLineChars="295"/>
        <w:rPr>
          <w:rFonts w:hint="eastAsia" w:asciiTheme="minorEastAsia" w:hAnsiTheme="minorEastAsia" w:eastAsiaTheme="minorEastAsia" w:cstheme="minorEastAsia"/>
          <w:sz w:val="24"/>
          <w:szCs w:val="24"/>
          <w:lang w:val="en-US" w:eastAsia="zh-CN"/>
        </w:rPr>
      </w:pPr>
    </w:p>
    <w:p>
      <w:pPr>
        <w:tabs>
          <w:tab w:val="left" w:pos="720"/>
        </w:tabs>
        <w:adjustRightInd w:val="0"/>
        <w:snapToGrid w:val="0"/>
        <w:spacing w:line="360" w:lineRule="auto"/>
        <w:ind w:firstLine="708" w:firstLineChars="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eastAsia="zh-CN"/>
        </w:rPr>
        <w:t>售后</w:t>
      </w:r>
      <w:r>
        <w:rPr>
          <w:rFonts w:hint="eastAsia" w:asciiTheme="minorEastAsia" w:hAnsiTheme="minorEastAsia" w:eastAsiaTheme="minorEastAsia" w:cstheme="minorEastAsia"/>
          <w:sz w:val="24"/>
          <w:szCs w:val="24"/>
        </w:rPr>
        <w:t>保障服务要求</w:t>
      </w:r>
    </w:p>
    <w:p>
      <w:pPr>
        <w:tabs>
          <w:tab w:val="left" w:pos="720"/>
        </w:tabs>
        <w:adjustRightInd w:val="0"/>
        <w:snapToGrid w:val="0"/>
        <w:spacing w:line="360" w:lineRule="auto"/>
        <w:ind w:firstLine="708" w:firstLineChars="295"/>
        <w:rPr>
          <w:rFonts w:hint="eastAsia" w:asciiTheme="minorEastAsia" w:hAnsiTheme="minorEastAsia" w:eastAsiaTheme="minorEastAsia" w:cstheme="minorEastAsia"/>
          <w:strike/>
          <w:dstrike w:val="0"/>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供应商在项目实施地能够提供稳定售后服务，且有专业影棚。</w:t>
      </w:r>
      <w:r>
        <w:rPr>
          <w:rFonts w:hint="eastAsia" w:asciiTheme="minorEastAsia" w:hAnsiTheme="minorEastAsia" w:eastAsiaTheme="minorEastAsia" w:cstheme="minorEastAsia"/>
          <w:sz w:val="24"/>
          <w:szCs w:val="24"/>
          <w:lang w:eastAsia="zh-CN"/>
        </w:rPr>
        <w:t>接到采购人管理使用部门联系后，</w:t>
      </w:r>
      <w:r>
        <w:rPr>
          <w:rFonts w:hint="eastAsia" w:asciiTheme="minorEastAsia" w:hAnsiTheme="minorEastAsia" w:eastAsiaTheme="minorEastAsia" w:cstheme="minorEastAsia"/>
          <w:sz w:val="24"/>
          <w:szCs w:val="24"/>
          <w:lang w:val="en-US" w:eastAsia="zh-CN"/>
        </w:rPr>
        <w:t>24小时内响应，3天内处理完毕。</w:t>
      </w:r>
    </w:p>
    <w:p>
      <w:pPr>
        <w:tabs>
          <w:tab w:val="left" w:pos="720"/>
        </w:tabs>
        <w:adjustRightInd w:val="0"/>
        <w:snapToGrid w:val="0"/>
        <w:spacing w:line="360" w:lineRule="auto"/>
        <w:ind w:firstLine="708" w:firstLineChars="29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供应商须</w:t>
      </w:r>
      <w:r>
        <w:rPr>
          <w:rFonts w:hint="eastAsia" w:asciiTheme="minorEastAsia" w:hAnsiTheme="minorEastAsia" w:cstheme="minorEastAsia"/>
          <w:sz w:val="24"/>
          <w:szCs w:val="24"/>
          <w:lang w:eastAsia="zh-CN"/>
        </w:rPr>
        <w:t>提供</w:t>
      </w:r>
      <w:r>
        <w:rPr>
          <w:rFonts w:hint="eastAsia" w:asciiTheme="minorEastAsia" w:hAnsiTheme="minorEastAsia" w:eastAsiaTheme="minorEastAsia" w:cstheme="minorEastAsia"/>
          <w:sz w:val="24"/>
          <w:szCs w:val="24"/>
        </w:rPr>
        <w:t>驻场服务，制作、服务团队包括课程设计人员、视频拍摄人员、剪辑美工人员、教学保障人员、课程推广人员</w:t>
      </w:r>
      <w:r>
        <w:rPr>
          <w:rFonts w:hint="eastAsia" w:asciiTheme="minorEastAsia" w:hAnsiTheme="minorEastAsia" w:cstheme="minorEastAsia"/>
          <w:sz w:val="24"/>
          <w:szCs w:val="24"/>
          <w:lang w:eastAsia="zh-CN"/>
        </w:rPr>
        <w:t>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具有教育学、现代教育技术学、广播电视编导、编导、动画或动漫设计创作等相关专业人员</w:t>
      </w:r>
      <w:r>
        <w:rPr>
          <w:rFonts w:hint="eastAsia" w:asciiTheme="minorEastAsia" w:hAnsiTheme="minorEastAsia" w:eastAsiaTheme="minorEastAsia" w:cstheme="minorEastAsia"/>
          <w:sz w:val="24"/>
          <w:szCs w:val="24"/>
          <w:lang w:eastAsia="zh-CN"/>
        </w:rPr>
        <w:t>。</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napToGrid w:val="0"/>
        <w:spacing w:line="400" w:lineRule="exact"/>
        <w:jc w:val="both"/>
        <w:rPr>
          <w:rFonts w:hint="eastAsia" w:ascii="方正仿宋_GBK" w:hAnsi="方正仿宋_GBK" w:eastAsia="方正仿宋_GBK" w:cs="方正仿宋_GBK"/>
          <w:b/>
          <w:bCs/>
          <w:color w:val="auto"/>
          <w:sz w:val="28"/>
          <w:szCs w:val="28"/>
          <w:highlight w:val="none"/>
        </w:rPr>
      </w:pPr>
    </w:p>
    <w:p>
      <w:pPr>
        <w:snapToGrid w:val="0"/>
        <w:spacing w:line="400" w:lineRule="exact"/>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 xml:space="preserve">第三篇  </w:t>
      </w:r>
      <w:r>
        <w:rPr>
          <w:rFonts w:hint="eastAsia" w:ascii="方正仿宋_GBK" w:hAnsi="方正仿宋_GBK" w:eastAsia="方正仿宋_GBK" w:cs="方正仿宋_GBK"/>
          <w:b/>
          <w:bCs/>
          <w:color w:val="auto"/>
          <w:sz w:val="28"/>
          <w:szCs w:val="28"/>
          <w:highlight w:val="none"/>
          <w:lang w:eastAsia="zh-CN"/>
        </w:rPr>
        <w:t>项目</w:t>
      </w:r>
      <w:r>
        <w:rPr>
          <w:rFonts w:hint="eastAsia" w:ascii="方正仿宋_GBK" w:hAnsi="方正仿宋_GBK" w:eastAsia="方正仿宋_GBK" w:cs="方正仿宋_GBK"/>
          <w:b/>
          <w:bCs/>
          <w:color w:val="auto"/>
          <w:sz w:val="28"/>
          <w:szCs w:val="28"/>
          <w:highlight w:val="none"/>
        </w:rPr>
        <w:t>商务</w:t>
      </w:r>
      <w:r>
        <w:rPr>
          <w:rFonts w:hint="eastAsia" w:ascii="方正仿宋_GBK" w:hAnsi="方正仿宋_GBK" w:eastAsia="方正仿宋_GBK" w:cs="方正仿宋_GBK"/>
          <w:b/>
          <w:bCs/>
          <w:color w:val="auto"/>
          <w:sz w:val="28"/>
          <w:szCs w:val="28"/>
          <w:highlight w:val="none"/>
          <w:lang w:eastAsia="zh-CN"/>
        </w:rPr>
        <w:t>要求</w:t>
      </w:r>
    </w:p>
    <w:bookmarkEnd w:id="14"/>
    <w:p>
      <w:pPr>
        <w:tabs>
          <w:tab w:val="left" w:pos="720"/>
        </w:tabs>
        <w:adjustRightInd w:val="0"/>
        <w:snapToGrid w:val="0"/>
        <w:spacing w:line="360" w:lineRule="auto"/>
        <w:rPr>
          <w:rFonts w:hint="default" w:asciiTheme="minorEastAsia" w:hAnsiTheme="minorEastAsia" w:eastAsiaTheme="minorEastAsia" w:cstheme="minorEastAsia"/>
          <w:sz w:val="24"/>
          <w:szCs w:val="24"/>
          <w:lang w:val="en-US" w:eastAsia="zh-CN"/>
        </w:rPr>
      </w:pPr>
      <w:bookmarkStart w:id="16" w:name="_Toc89868483"/>
      <w:r>
        <w:rPr>
          <w:rFonts w:hint="default"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实施时间、地点及验收</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服务</w:t>
      </w:r>
      <w:r>
        <w:rPr>
          <w:rFonts w:hint="default" w:asciiTheme="minorEastAsia" w:hAnsiTheme="minorEastAsia" w:eastAsiaTheme="minorEastAsia" w:cstheme="minorEastAsia"/>
          <w:sz w:val="24"/>
          <w:szCs w:val="24"/>
          <w:lang w:val="en-US" w:eastAsia="zh-CN"/>
        </w:rPr>
        <w:t>时间：</w:t>
      </w:r>
      <w:r>
        <w:rPr>
          <w:rFonts w:hint="eastAsia" w:asciiTheme="minorEastAsia" w:hAnsiTheme="minorEastAsia" w:eastAsiaTheme="minorEastAsia" w:cstheme="minorEastAsia"/>
          <w:sz w:val="24"/>
          <w:szCs w:val="24"/>
          <w:lang w:val="en-US" w:eastAsia="zh-CN"/>
        </w:rPr>
        <w:t>项目建设</w:t>
      </w:r>
      <w:r>
        <w:rPr>
          <w:rFonts w:hint="default" w:asciiTheme="minorEastAsia" w:hAnsiTheme="minorEastAsia" w:eastAsiaTheme="minorEastAsia" w:cstheme="minorEastAsia"/>
          <w:sz w:val="24"/>
          <w:szCs w:val="24"/>
          <w:highlight w:val="none"/>
          <w:lang w:val="en-US" w:eastAsia="zh-CN"/>
        </w:rPr>
        <w:t>30个日历日</w:t>
      </w:r>
      <w:r>
        <w:rPr>
          <w:rFonts w:hint="eastAsia" w:asciiTheme="minorEastAsia" w:hAnsiTheme="minorEastAsia" w:eastAsiaTheme="minorEastAsia" w:cstheme="minorEastAsia"/>
          <w:sz w:val="24"/>
          <w:szCs w:val="24"/>
          <w:lang w:val="en-US" w:eastAsia="zh-CN"/>
        </w:rPr>
        <w:t>，质保期2年</w:t>
      </w:r>
      <w:r>
        <w:rPr>
          <w:rFonts w:hint="default" w:asciiTheme="minorEastAsia" w:hAnsiTheme="minorEastAsia" w:eastAsiaTheme="minorEastAsia" w:cstheme="minorEastAsia"/>
          <w:sz w:val="24"/>
          <w:szCs w:val="24"/>
          <w:lang w:val="en-US" w:eastAsia="zh-CN"/>
        </w:rPr>
        <w:t>。</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服务</w:t>
      </w:r>
      <w:r>
        <w:rPr>
          <w:rFonts w:hint="default" w:asciiTheme="minorEastAsia" w:hAnsiTheme="minorEastAsia" w:eastAsiaTheme="minorEastAsia" w:cstheme="minorEastAsia"/>
          <w:sz w:val="24"/>
          <w:szCs w:val="24"/>
          <w:lang w:val="en-US" w:eastAsia="zh-CN"/>
        </w:rPr>
        <w:t>地点：重庆医科大学附属</w:t>
      </w:r>
      <w:r>
        <w:rPr>
          <w:rFonts w:hint="eastAsia" w:asciiTheme="minorEastAsia" w:hAnsiTheme="minorEastAsia" w:eastAsiaTheme="minorEastAsia" w:cstheme="minorEastAsia"/>
          <w:sz w:val="24"/>
          <w:szCs w:val="24"/>
          <w:lang w:val="en-US" w:eastAsia="zh-CN"/>
        </w:rPr>
        <w:t>康复</w:t>
      </w:r>
      <w:r>
        <w:rPr>
          <w:rFonts w:hint="default" w:asciiTheme="minorEastAsia" w:hAnsiTheme="minorEastAsia" w:eastAsiaTheme="minorEastAsia" w:cstheme="minorEastAsia"/>
          <w:sz w:val="24"/>
          <w:szCs w:val="24"/>
          <w:lang w:val="en-US" w:eastAsia="zh-CN"/>
        </w:rPr>
        <w:t>医院，采购人指定地点。</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lang w:val="en-US" w:eastAsia="zh-CN"/>
        </w:rPr>
        <w:t>3.项目验收：</w:t>
      </w:r>
      <w:r>
        <w:rPr>
          <w:rFonts w:hint="default" w:asciiTheme="minorEastAsia" w:hAnsiTheme="minorEastAsia" w:eastAsiaTheme="minorEastAsia" w:cstheme="minorEastAsia"/>
          <w:sz w:val="24"/>
          <w:szCs w:val="24"/>
          <w:highlight w:val="none"/>
          <w:lang w:val="en-US" w:eastAsia="zh-CN"/>
        </w:rPr>
        <w:t>项目建设完成后，中标人提起验收申请，采购人根据合同参数验收，并在验收单上签字确认</w:t>
      </w:r>
      <w:r>
        <w:rPr>
          <w:rFonts w:hint="eastAsia" w:asciiTheme="minorEastAsia" w:hAnsiTheme="minorEastAsia" w:eastAsiaTheme="minorEastAsia" w:cstheme="minorEastAsia"/>
          <w:sz w:val="24"/>
          <w:szCs w:val="24"/>
          <w:highlight w:val="none"/>
          <w:lang w:val="en-US" w:eastAsia="zh-CN"/>
        </w:rPr>
        <w:t>。</w:t>
      </w:r>
    </w:p>
    <w:p>
      <w:pPr>
        <w:tabs>
          <w:tab w:val="left" w:pos="720"/>
        </w:tabs>
        <w:adjustRightInd w:val="0"/>
        <w:snapToGrid w:val="0"/>
        <w:spacing w:line="360" w:lineRule="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交货时间、交货地点及验收方式</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lang w:val="en-US" w:eastAsia="zh-CN"/>
        </w:rPr>
        <w:t>1.交货时间：中标人应在</w:t>
      </w:r>
      <w:r>
        <w:rPr>
          <w:rFonts w:hint="eastAsia" w:asciiTheme="minorEastAsia" w:hAnsiTheme="minorEastAsia" w:eastAsiaTheme="minorEastAsia" w:cstheme="minorEastAsia"/>
          <w:sz w:val="24"/>
          <w:szCs w:val="24"/>
          <w:lang w:val="en-US" w:eastAsia="zh-CN"/>
        </w:rPr>
        <w:t>项目结果公示期结束</w:t>
      </w:r>
      <w:r>
        <w:rPr>
          <w:rFonts w:hint="default" w:asciiTheme="minorEastAsia" w:hAnsiTheme="minorEastAsia" w:eastAsiaTheme="minorEastAsia" w:cstheme="minorEastAsia"/>
          <w:sz w:val="24"/>
          <w:szCs w:val="24"/>
          <w:lang w:val="en-US" w:eastAsia="zh-CN"/>
        </w:rPr>
        <w:t>后，</w:t>
      </w:r>
      <w:r>
        <w:rPr>
          <w:rFonts w:hint="default" w:asciiTheme="minorEastAsia" w:hAnsiTheme="minorEastAsia" w:eastAsiaTheme="minorEastAsia" w:cstheme="minorEastAsia"/>
          <w:sz w:val="24"/>
          <w:szCs w:val="24"/>
          <w:highlight w:val="none"/>
          <w:lang w:val="en-US" w:eastAsia="zh-CN"/>
        </w:rPr>
        <w:t>30个日历日内完成</w:t>
      </w:r>
      <w:r>
        <w:rPr>
          <w:rFonts w:hint="eastAsia" w:asciiTheme="minorEastAsia" w:hAnsiTheme="minorEastAsia" w:eastAsiaTheme="minorEastAsia" w:cstheme="minorEastAsia"/>
          <w:sz w:val="24"/>
          <w:szCs w:val="24"/>
          <w:highlight w:val="none"/>
          <w:lang w:val="en-US" w:eastAsia="zh-CN"/>
        </w:rPr>
        <w:t>本项目课程建设所有要求并</w:t>
      </w:r>
      <w:r>
        <w:rPr>
          <w:rFonts w:hint="default" w:asciiTheme="minorEastAsia" w:hAnsiTheme="minorEastAsia" w:eastAsiaTheme="minorEastAsia" w:cstheme="minorEastAsia"/>
          <w:sz w:val="24"/>
          <w:szCs w:val="24"/>
          <w:highlight w:val="none"/>
          <w:lang w:val="en-US" w:eastAsia="zh-CN"/>
        </w:rPr>
        <w:t>交付</w:t>
      </w:r>
      <w:r>
        <w:rPr>
          <w:rFonts w:hint="eastAsia" w:asciiTheme="minorEastAsia" w:hAnsiTheme="minorEastAsia" w:eastAsiaTheme="minorEastAsia" w:cstheme="minorEastAsia"/>
          <w:sz w:val="24"/>
          <w:szCs w:val="24"/>
          <w:highlight w:val="none"/>
          <w:lang w:val="en-US" w:eastAsia="zh-CN"/>
        </w:rPr>
        <w:t>，包含课程录制、上线</w:t>
      </w:r>
      <w:r>
        <w:rPr>
          <w:rFonts w:hint="default" w:asciiTheme="minorEastAsia" w:hAnsiTheme="minorEastAsia" w:eastAsiaTheme="minorEastAsia" w:cstheme="minorEastAsia"/>
          <w:sz w:val="24"/>
          <w:szCs w:val="24"/>
          <w:highlight w:val="none"/>
          <w:lang w:val="en-US" w:eastAsia="zh-CN"/>
        </w:rPr>
        <w:t>调试及培训</w:t>
      </w:r>
      <w:r>
        <w:rPr>
          <w:rFonts w:hint="eastAsia" w:asciiTheme="minorEastAsia" w:hAnsiTheme="minorEastAsia" w:eastAsiaTheme="minorEastAsia" w:cstheme="minorEastAsia"/>
          <w:sz w:val="24"/>
          <w:szCs w:val="24"/>
          <w:highlight w:val="none"/>
          <w:lang w:val="en-US" w:eastAsia="zh-CN"/>
        </w:rPr>
        <w:t>等所有工作</w:t>
      </w:r>
      <w:r>
        <w:rPr>
          <w:rFonts w:hint="default" w:asciiTheme="minorEastAsia" w:hAnsiTheme="minorEastAsia" w:eastAsiaTheme="minorEastAsia" w:cstheme="minorEastAsia"/>
          <w:sz w:val="24"/>
          <w:szCs w:val="24"/>
          <w:highlight w:val="none"/>
          <w:lang w:val="en-US" w:eastAsia="zh-CN"/>
        </w:rPr>
        <w:t>。</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注：实施此项目服务不以合同签订完成为前提，中标人应按本条规定的时间履行工作。若未在规定时间内完成工作，将视为中标人违反磋商项目服务需求，采购人有权中止合同，不支付任何费用，并没收</w:t>
      </w:r>
      <w:r>
        <w:rPr>
          <w:rFonts w:hint="eastAsia" w:asciiTheme="minorEastAsia" w:hAnsiTheme="minorEastAsia" w:eastAsiaTheme="minorEastAsia" w:cstheme="minorEastAsia"/>
          <w:sz w:val="24"/>
          <w:szCs w:val="24"/>
          <w:lang w:val="en-US" w:eastAsia="zh-CN"/>
        </w:rPr>
        <w:t>项目</w:t>
      </w:r>
      <w:r>
        <w:rPr>
          <w:rFonts w:hint="default" w:asciiTheme="minorEastAsia" w:hAnsiTheme="minorEastAsia" w:eastAsiaTheme="minorEastAsia" w:cstheme="minorEastAsia"/>
          <w:sz w:val="24"/>
          <w:szCs w:val="24"/>
          <w:lang w:val="en-US" w:eastAsia="zh-CN"/>
        </w:rPr>
        <w:t>履约保证金。</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2.服务地点：重庆医科大学附属康复医院，采购人指定地点。</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3.验收方式：安装完成且运行正常后校内综合验收</w:t>
      </w:r>
    </w:p>
    <w:p>
      <w:pPr>
        <w:tabs>
          <w:tab w:val="left" w:pos="720"/>
        </w:tabs>
        <w:adjustRightInd w:val="0"/>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w:t>
      </w:r>
      <w:r>
        <w:rPr>
          <w:rFonts w:hint="default" w:asciiTheme="minorEastAsia" w:hAnsiTheme="minorEastAsia" w:eastAsiaTheme="minorEastAsia" w:cstheme="minorEastAsia"/>
          <w:sz w:val="24"/>
          <w:szCs w:val="24"/>
          <w:lang w:val="en-US" w:eastAsia="zh-CN"/>
        </w:rPr>
        <w:t>报价要求</w:t>
      </w:r>
    </w:p>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本项目。磋商报价为包干价，报价为人民币报总价（交钥匙）。报价包含但不限于：</w:t>
      </w:r>
      <w:r>
        <w:rPr>
          <w:rFonts w:hint="default" w:asciiTheme="minorEastAsia" w:hAnsiTheme="minorEastAsia" w:eastAsiaTheme="minorEastAsia" w:cstheme="minorEastAsia"/>
          <w:sz w:val="24"/>
          <w:szCs w:val="24"/>
          <w:lang w:val="en-US" w:eastAsia="zh-CN"/>
        </w:rPr>
        <w:t>人工费、办公费、差旅费、住宿费、交通费、通讯费、</w:t>
      </w:r>
      <w:r>
        <w:rPr>
          <w:rFonts w:hint="eastAsia" w:asciiTheme="minorEastAsia" w:hAnsiTheme="minorEastAsia" w:eastAsiaTheme="minorEastAsia" w:cstheme="minorEastAsia"/>
          <w:sz w:val="24"/>
          <w:szCs w:val="24"/>
          <w:lang w:val="en-US" w:eastAsia="zh-CN"/>
        </w:rPr>
        <w:t>材料费、保险费、</w:t>
      </w:r>
      <w:r>
        <w:rPr>
          <w:rFonts w:hint="default" w:asciiTheme="minorEastAsia" w:hAnsiTheme="minorEastAsia" w:eastAsiaTheme="minorEastAsia" w:cstheme="minorEastAsia"/>
          <w:sz w:val="24"/>
          <w:szCs w:val="24"/>
          <w:lang w:val="en-US" w:eastAsia="zh-CN"/>
        </w:rPr>
        <w:t>设备费、管理费、利润</w:t>
      </w:r>
      <w:r>
        <w:rPr>
          <w:rFonts w:hint="eastAsia" w:asciiTheme="minorEastAsia" w:hAnsiTheme="minorEastAsia" w:eastAsiaTheme="minorEastAsia" w:cstheme="minorEastAsia"/>
          <w:sz w:val="24"/>
          <w:szCs w:val="24"/>
          <w:lang w:val="en-US" w:eastAsia="zh-CN"/>
        </w:rPr>
        <w:t>、运输费（含装卸费）、税费、培训费等以及所有需要用到的辅材费用和招标人未考虑到的其他各种费用。中标后，采购人不追加任何费用，请投标人在投标时充分考虑所有费用，若中标人因费用问题拖延服务时间或未按服务要求执行，皆视为违约，采购人有权中止合同，没收履约保证金，并拒绝支付所有服务费用。</w:t>
      </w:r>
    </w:p>
    <w:p>
      <w:pPr>
        <w:tabs>
          <w:tab w:val="left" w:pos="720"/>
        </w:tabs>
        <w:adjustRightInd w:val="0"/>
        <w:snapToGrid w:val="0"/>
        <w:spacing w:line="360" w:lineRule="auto"/>
        <w:rPr>
          <w:rFonts w:hint="eastAsia" w:asciiTheme="minorEastAsia" w:hAnsiTheme="minorEastAsia" w:eastAsiaTheme="minorEastAsia" w:cstheme="minorEastAsia"/>
          <w:sz w:val="24"/>
          <w:szCs w:val="24"/>
          <w:lang w:val="en-US" w:eastAsia="zh-CN"/>
        </w:rPr>
      </w:pPr>
      <w:bookmarkStart w:id="17" w:name="_Toc8555"/>
      <w:bookmarkStart w:id="18" w:name="_Toc398650620"/>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lang w:val="en-US" w:eastAsia="zh-CN"/>
        </w:rPr>
        <w:t>质量保证及售后服务</w:t>
      </w:r>
      <w:bookmarkEnd w:id="17"/>
      <w:bookmarkEnd w:id="18"/>
    </w:p>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1.质量保证期：自验收之日起，提供2年的免费服务质保期。</w:t>
      </w:r>
    </w:p>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2.售后服务内容</w:t>
      </w:r>
    </w:p>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供应商在服务质保期内应当为采购人提供以下技术支持服务：</w:t>
      </w:r>
    </w:p>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（1）质保期内：甲方遇到使用及技术问题，乙方提供免费电话远程咨询服务，2小时内反馈意见，5小时内解决问题；电话远程咨询不能解决的，8小时内到达现场进行处理，在24小时内派出专业人员进行技术支持。</w:t>
      </w:r>
    </w:p>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（2）质量保证期过后，成交供应商应同样提供免费电话咨询服务，并应承诺提供上门维护服务；应以优惠价格提供售后服务。</w:t>
      </w:r>
    </w:p>
    <w:p>
      <w:pPr>
        <w:tabs>
          <w:tab w:val="left" w:pos="720"/>
        </w:tabs>
        <w:adjustRightInd w:val="0"/>
        <w:snapToGrid w:val="0"/>
        <w:spacing w:line="360" w:lineRule="auto"/>
        <w:rPr>
          <w:rFonts w:hint="eastAsia" w:asciiTheme="minorEastAsia" w:hAnsiTheme="minorEastAsia" w:eastAsiaTheme="minorEastAsia" w:cstheme="minorEastAsia"/>
          <w:sz w:val="24"/>
          <w:szCs w:val="24"/>
          <w:lang w:val="en-US" w:eastAsia="zh-CN"/>
        </w:rPr>
      </w:pPr>
      <w:bookmarkStart w:id="19" w:name="_Toc24778"/>
      <w:bookmarkStart w:id="20" w:name="_Toc344475122"/>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lang w:val="en-US" w:eastAsia="zh-CN"/>
        </w:rPr>
        <w:t>付款方式</w:t>
      </w:r>
      <w:bookmarkEnd w:id="19"/>
      <w:bookmarkEnd w:id="20"/>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1.合同签署前，中标人向采购人缴纳合同金额的5%作为履约保证金。项目验收合格后，采购人支付至合同金额的100%，中标人提供等额增值税发票。</w:t>
      </w:r>
    </w:p>
    <w:p>
      <w:pPr>
        <w:tabs>
          <w:tab w:val="left" w:pos="720"/>
        </w:tabs>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2.因服务不善造成采购人财产和经济损失的，采购人在书面通知中标供应商后，有权从合同款中扣除相关损失的费用。</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本项目履约担保的形式：现金或保函；采用保函形式的，保函必须为不可撤销且见索即付，履约保证金为中标金额的5%，履约担保的提交时间：在中标通知书领取后10个工作日，成交供应商按担保金额向采购人提交履约担保，否则视为放弃中标。履约保证金在合同履约验收合格后扣除应由供应商承担的违约金或赔偿费用后，在30个工作日内无息退还履约保证金。</w:t>
      </w:r>
    </w:p>
    <w:p>
      <w:pPr>
        <w:tabs>
          <w:tab w:val="left" w:pos="720"/>
        </w:tabs>
        <w:adjustRightInd w:val="0"/>
        <w:snapToGrid w:val="0"/>
        <w:spacing w:line="360" w:lineRule="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其他</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1.供应商必须在响应文件中对以上条款和服务承诺明确列出，包括所提供服务的内容、服务质量要求、服务标准、服务指标、实施方案等。</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2.项目服务过程中成交供应商原则上不得更换项目负责人，若因特殊原因确需变更，应符合采购时条件要求，并经采购人使用管理部门同意方可变更，否则视为违约。</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3.成交供应商提供服务的人员应与投标时一致，服从采购人工作安排和日常管理，接受全过程监督，按时完成服务工作。</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4.中标供应商不得将服务项目分包或转委托于其他任何机构。</w:t>
      </w:r>
    </w:p>
    <w:p>
      <w:pPr>
        <w:tabs>
          <w:tab w:val="left" w:pos="720"/>
        </w:tabs>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5.其他未尽事宜由供需双方在采购合同中详细约定。</w:t>
      </w:r>
    </w:p>
    <w:p>
      <w:pPr>
        <w:tabs>
          <w:tab w:val="left" w:pos="720"/>
        </w:tabs>
        <w:adjustRightInd w:val="0"/>
        <w:snapToGrid w:val="0"/>
        <w:spacing w:line="360" w:lineRule="auto"/>
        <w:rPr>
          <w:rFonts w:hint="default" w:asciiTheme="minorEastAsia" w:hAnsiTheme="minorEastAsia" w:eastAsiaTheme="minorEastAsia" w:cstheme="minorEastAsia"/>
          <w:sz w:val="24"/>
          <w:szCs w:val="24"/>
          <w:lang w:val="en-US" w:eastAsia="zh-CN"/>
        </w:rPr>
      </w:pPr>
    </w:p>
    <w:p>
      <w:pPr>
        <w:tabs>
          <w:tab w:val="left" w:pos="720"/>
        </w:tabs>
        <w:adjustRightInd w:val="0"/>
        <w:snapToGrid w:val="0"/>
        <w:spacing w:line="360" w:lineRule="auto"/>
        <w:rPr>
          <w:rFonts w:hint="default" w:asciiTheme="minorEastAsia" w:hAnsiTheme="minorEastAsia" w:eastAsiaTheme="minorEastAsia" w:cstheme="minorEastAsia"/>
          <w:sz w:val="24"/>
          <w:szCs w:val="24"/>
          <w:lang w:val="en-US" w:eastAsia="zh-CN"/>
        </w:rPr>
      </w:pPr>
    </w:p>
    <w:p>
      <w:pPr>
        <w:pStyle w:val="3"/>
        <w:spacing w:beforeLines="0" w:afterLines="0" w:line="240" w:lineRule="auto"/>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pStyle w:val="2"/>
        <w:rPr>
          <w:rFonts w:hint="eastAsia"/>
        </w:rPr>
      </w:pPr>
    </w:p>
    <w:p>
      <w:pPr>
        <w:pStyle w:val="3"/>
        <w:spacing w:beforeLines="0" w:afterLines="0" w:line="240" w:lineRule="auto"/>
        <w:rPr>
          <w:rFonts w:hint="eastAsia" w:ascii="宋体" w:hAnsi="宋体" w:eastAsia="宋体" w:cs="宋体"/>
          <w:b/>
          <w:bCs/>
          <w:color w:val="auto"/>
          <w:sz w:val="28"/>
          <w:szCs w:val="28"/>
          <w:highlight w:val="none"/>
        </w:rPr>
      </w:pPr>
    </w:p>
    <w:p>
      <w:pPr>
        <w:pStyle w:val="3"/>
        <w:spacing w:beforeLines="0" w:afterLines="0" w:line="240" w:lineRule="auto"/>
        <w:rPr>
          <w:rFonts w:hint="eastAsia" w:ascii="宋体" w:hAnsi="宋体" w:eastAsia="宋体" w:cs="宋体"/>
          <w:b/>
          <w:bCs/>
          <w:color w:val="auto"/>
          <w:sz w:val="28"/>
          <w:szCs w:val="28"/>
          <w:highlight w:val="none"/>
        </w:rPr>
      </w:pPr>
    </w:p>
    <w:p>
      <w:pPr>
        <w:pStyle w:val="3"/>
        <w:spacing w:beforeLines="0" w:afterLines="0" w:line="240" w:lineRule="auto"/>
        <w:rPr>
          <w:rFonts w:hint="eastAsia" w:ascii="宋体" w:hAnsi="宋体" w:eastAsia="宋体" w:cs="宋体"/>
          <w:b/>
          <w:bCs/>
          <w:color w:val="auto"/>
          <w:sz w:val="28"/>
          <w:szCs w:val="28"/>
          <w:highlight w:val="none"/>
        </w:rPr>
      </w:pPr>
    </w:p>
    <w:p>
      <w:pPr>
        <w:pStyle w:val="3"/>
        <w:spacing w:beforeLines="0" w:afterLines="0" w:line="240" w:lineRule="auto"/>
        <w:rPr>
          <w:rFonts w:hint="eastAsia" w:ascii="宋体" w:hAnsi="宋体" w:eastAsia="宋体" w:cs="宋体"/>
          <w:b/>
          <w:bCs/>
          <w:color w:val="auto"/>
          <w:sz w:val="28"/>
          <w:szCs w:val="28"/>
          <w:highlight w:val="none"/>
        </w:rPr>
      </w:pPr>
    </w:p>
    <w:p>
      <w:pPr>
        <w:pStyle w:val="3"/>
        <w:spacing w:beforeLines="0" w:afterLines="0" w:line="240" w:lineRule="auto"/>
        <w:rPr>
          <w:rFonts w:hint="eastAsia" w:ascii="宋体" w:hAnsi="宋体" w:eastAsia="宋体" w:cs="宋体"/>
          <w:b/>
          <w:bCs/>
          <w:color w:val="auto"/>
          <w:sz w:val="28"/>
          <w:szCs w:val="28"/>
          <w:highlight w:val="none"/>
        </w:rPr>
      </w:pPr>
    </w:p>
    <w:bookmarkEnd w:id="16"/>
    <w:p>
      <w:pPr>
        <w:adjustRightInd w:val="0"/>
        <w:snapToGrid w:val="0"/>
        <w:spacing w:line="360" w:lineRule="auto"/>
        <w:ind w:firstLine="413" w:firstLineChars="196"/>
        <w:rPr>
          <w:rFonts w:hint="eastAsia" w:ascii="宋体" w:hAnsi="宋体" w:eastAsia="宋体" w:cs="宋体"/>
          <w:b/>
          <w:color w:val="auto"/>
          <w:szCs w:val="21"/>
          <w:highlight w:val="none"/>
        </w:rPr>
      </w:pPr>
    </w:p>
    <w:p>
      <w:pPr>
        <w:numPr>
          <w:ilvl w:val="0"/>
          <w:numId w:val="0"/>
        </w:numPr>
        <w:adjustRightInd w:val="0"/>
        <w:snapToGrid w:val="0"/>
        <w:spacing w:line="360" w:lineRule="auto"/>
        <w:rPr>
          <w:rFonts w:hint="eastAsia" w:ascii="宋体" w:hAnsi="宋体" w:cs="宋体"/>
          <w:b/>
          <w:color w:val="auto"/>
          <w:sz w:val="24"/>
          <w:szCs w:val="24"/>
          <w:highlight w:val="none"/>
          <w:lang w:eastAsia="zh-CN"/>
        </w:rPr>
      </w:pPr>
    </w:p>
    <w:p>
      <w:pPr>
        <w:pStyle w:val="3"/>
        <w:spacing w:beforeLines="0" w:afterLines="0" w:line="24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篇  评标方法、成交原则、无效投标条款和废标条款</w:t>
      </w:r>
    </w:p>
    <w:p>
      <w:pPr>
        <w:numPr>
          <w:ilvl w:val="0"/>
          <w:numId w:val="0"/>
        </w:numPr>
        <w:adjustRightInd w:val="0"/>
        <w:snapToGrid w:val="0"/>
        <w:spacing w:line="360" w:lineRule="auto"/>
        <w:rPr>
          <w:rFonts w:hint="eastAsia" w:ascii="宋体" w:hAnsi="宋体" w:cs="宋体"/>
          <w:b/>
          <w:color w:val="auto"/>
          <w:sz w:val="24"/>
          <w:szCs w:val="24"/>
          <w:highlight w:val="none"/>
          <w:lang w:eastAsia="zh-CN"/>
        </w:rPr>
      </w:pPr>
    </w:p>
    <w:p>
      <w:pPr>
        <w:numPr>
          <w:ilvl w:val="0"/>
          <w:numId w:val="0"/>
        </w:numPr>
        <w:adjustRightInd w:val="0"/>
        <w:snapToGrid w:val="0"/>
        <w:spacing w:line="360" w:lineRule="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一、竞争性磋商程序及方法</w:t>
      </w:r>
    </w:p>
    <w:p>
      <w:pPr>
        <w:pStyle w:val="4"/>
        <w:numPr>
          <w:ilvl w:val="0"/>
          <w:numId w:val="0"/>
        </w:numPr>
        <w:jc w:val="left"/>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（一）磋商按竞争性磋商文件规定的时间和地点进行，供应商须有法定代表人或其授权代表参加并签到。竞争性磋商以抽签的形式确定磋商顺序，由本项目依法组建的评审小组分别与各供应商进行磋商。</w:t>
      </w:r>
    </w:p>
    <w:p>
      <w:pPr>
        <w:pStyle w:val="4"/>
        <w:numPr>
          <w:ilvl w:val="0"/>
          <w:numId w:val="0"/>
        </w:numPr>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color w:val="auto"/>
          <w:highlight w:val="none"/>
          <w:lang w:eastAsia="zh-CN"/>
        </w:rPr>
        <w:t>（二）评审小组对各供应商的资格条件、响应文件的有效性、完整性和响应程度进行审查。各供应商只有通过了资格性审查、符合性审查的前提下，才能参与正式磋商，有资格进行最终报价。已提交响应文件但未在规定时间内进行最后报价的供应商，视为放弃最后报价，以供应商响应文件中的报价为准。</w:t>
      </w:r>
    </w:p>
    <w:p>
      <w:pPr>
        <w:adjustRightInd w:val="0"/>
        <w:snapToGrid w:val="0"/>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资格性检查是依据法律法规和采购文件的规定，对投标文件中的资格证明进行审查，以确定投标人是否具备投标资格。资格性检查资料表如下：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5388" w:type="dxa"/>
            <w:gridSpan w:val="2"/>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564" w:type="dxa"/>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trPr>
        <w:tc>
          <w:tcPr>
            <w:tcW w:w="676" w:type="dxa"/>
            <w:vMerge w:val="restart"/>
            <w:vAlign w:val="center"/>
          </w:tcPr>
          <w:p>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应符合的基本资格条件</w:t>
            </w:r>
          </w:p>
        </w:tc>
        <w:tc>
          <w:tcPr>
            <w:tcW w:w="4679" w:type="dxa"/>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564" w:type="dxa"/>
            <w:vAlign w:val="center"/>
          </w:tcPr>
          <w:p>
            <w:pPr>
              <w:spacing w:line="2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营业执照、税务登记证、组织机构代码证复印件加盖鲜章；（或“三证合一版”营业执照）</w:t>
            </w:r>
          </w:p>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法定代表人身份证明和法定代表人授权代表委托书；（法定代表人参加竞标活动并签署文件的不需要授权委托书，只需提供法定代表人身份证明；非法定代表人参加竞标活动及签署文件的除提供法定代表人身份证明外还须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676" w:type="dxa"/>
            <w:vMerge w:val="continue"/>
            <w:vAlign w:val="center"/>
          </w:tcPr>
          <w:p>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pPr>
              <w:spacing w:line="240" w:lineRule="exact"/>
              <w:rPr>
                <w:rFonts w:hint="eastAsia" w:ascii="宋体" w:hAnsi="宋体" w:eastAsia="宋体" w:cs="宋体"/>
                <w:color w:val="auto"/>
                <w:sz w:val="24"/>
                <w:szCs w:val="24"/>
                <w:highlight w:val="none"/>
                <w:lang w:val="zh-CN"/>
              </w:rPr>
            </w:pPr>
          </w:p>
        </w:tc>
        <w:tc>
          <w:tcPr>
            <w:tcW w:w="4679" w:type="dxa"/>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564" w:type="dxa"/>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提供</w:t>
            </w:r>
            <w:r>
              <w:rPr>
                <w:rFonts w:hint="eastAsia" w:ascii="宋体" w:hAnsi="宋体" w:cs="宋体"/>
                <w:color w:val="auto"/>
                <w:sz w:val="22"/>
                <w:szCs w:val="22"/>
                <w:highlight w:val="none"/>
                <w:lang w:val="en-US" w:eastAsia="zh-CN"/>
              </w:rPr>
              <w:t>2021</w:t>
            </w:r>
            <w:r>
              <w:rPr>
                <w:rFonts w:hint="eastAsia" w:ascii="宋体" w:hAnsi="宋体" w:eastAsia="宋体" w:cs="宋体"/>
                <w:color w:val="auto"/>
                <w:sz w:val="22"/>
                <w:szCs w:val="22"/>
                <w:highlight w:val="none"/>
              </w:rPr>
              <w:t>年度</w:t>
            </w:r>
            <w:r>
              <w:rPr>
                <w:rFonts w:hint="eastAsia" w:ascii="宋体" w:hAnsi="宋体" w:cs="宋体"/>
                <w:color w:val="auto"/>
                <w:sz w:val="22"/>
                <w:szCs w:val="22"/>
                <w:highlight w:val="none"/>
                <w:lang w:eastAsia="zh-CN"/>
              </w:rPr>
              <w:t>或</w:t>
            </w:r>
            <w:r>
              <w:rPr>
                <w:rFonts w:hint="eastAsia" w:ascii="宋体" w:hAnsi="宋体" w:cs="宋体"/>
                <w:color w:val="auto"/>
                <w:sz w:val="22"/>
                <w:szCs w:val="22"/>
                <w:highlight w:val="none"/>
                <w:lang w:val="en-US" w:eastAsia="zh-CN"/>
              </w:rPr>
              <w:t>2022年度</w:t>
            </w:r>
            <w:r>
              <w:rPr>
                <w:rFonts w:hint="eastAsia" w:ascii="宋体" w:hAnsi="宋体" w:eastAsia="宋体" w:cs="宋体"/>
                <w:color w:val="auto"/>
                <w:sz w:val="22"/>
                <w:szCs w:val="22"/>
                <w:highlight w:val="none"/>
              </w:rPr>
              <w:t>财务状况报告（表）复印件，本年度新成立的公司提供提交响应文件截止时间前一个月的财务状况报告（表）复印件。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6" w:type="dxa"/>
            <w:vMerge w:val="continue"/>
            <w:vAlign w:val="center"/>
          </w:tcPr>
          <w:p>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pPr>
              <w:spacing w:line="240" w:lineRule="exact"/>
              <w:rPr>
                <w:rFonts w:hint="eastAsia" w:ascii="宋体" w:hAnsi="宋体" w:eastAsia="宋体" w:cs="宋体"/>
                <w:color w:val="auto"/>
                <w:sz w:val="24"/>
                <w:szCs w:val="24"/>
                <w:highlight w:val="none"/>
                <w:lang w:val="zh-CN"/>
              </w:rPr>
            </w:pPr>
          </w:p>
        </w:tc>
        <w:tc>
          <w:tcPr>
            <w:tcW w:w="4679" w:type="dxa"/>
            <w:vAlign w:val="center"/>
          </w:tcPr>
          <w:p>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564" w:type="dxa"/>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676" w:type="dxa"/>
            <w:vMerge w:val="continue"/>
            <w:vAlign w:val="center"/>
          </w:tcPr>
          <w:p>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pPr>
              <w:spacing w:line="240" w:lineRule="exact"/>
              <w:rPr>
                <w:rFonts w:hint="eastAsia" w:ascii="宋体" w:hAnsi="宋体" w:eastAsia="宋体" w:cs="宋体"/>
                <w:color w:val="auto"/>
                <w:sz w:val="24"/>
                <w:szCs w:val="24"/>
                <w:highlight w:val="none"/>
                <w:lang w:val="zh-CN"/>
              </w:rPr>
            </w:pPr>
          </w:p>
        </w:tc>
        <w:tc>
          <w:tcPr>
            <w:tcW w:w="4679" w:type="dxa"/>
            <w:vAlign w:val="center"/>
          </w:tcPr>
          <w:p>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564" w:type="dxa"/>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税务登记证（副本）复印件和社会保险缴纳证明材料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pPr>
              <w:spacing w:line="240" w:lineRule="exact"/>
              <w:rPr>
                <w:rFonts w:hint="eastAsia" w:ascii="宋体" w:hAnsi="宋体" w:eastAsia="宋体" w:cs="宋体"/>
                <w:color w:val="auto"/>
                <w:sz w:val="24"/>
                <w:szCs w:val="24"/>
                <w:highlight w:val="none"/>
                <w:lang w:val="zh-CN"/>
              </w:rPr>
            </w:pPr>
          </w:p>
        </w:tc>
        <w:tc>
          <w:tcPr>
            <w:tcW w:w="4679" w:type="dxa"/>
            <w:vAlign w:val="center"/>
          </w:tcPr>
          <w:p>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w:t>
            </w:r>
          </w:p>
        </w:tc>
        <w:tc>
          <w:tcPr>
            <w:tcW w:w="3564" w:type="dxa"/>
            <w:vAlign w:val="center"/>
          </w:tcPr>
          <w:p>
            <w:pPr>
              <w:spacing w:line="240" w:lineRule="exac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lang w:val="en-US" w:eastAsia="zh-CN"/>
              </w:rPr>
              <w:t>1.</w:t>
            </w:r>
            <w:r>
              <w:rPr>
                <w:rFonts w:hint="eastAsia" w:ascii="仿宋_GB2312" w:hAnsi="宋体" w:eastAsia="仿宋_GB2312"/>
                <w:color w:val="auto"/>
                <w:szCs w:val="21"/>
                <w:highlight w:val="none"/>
              </w:rPr>
              <w:t>供应商提供书面声明</w:t>
            </w:r>
          </w:p>
          <w:p>
            <w:pPr>
              <w:spacing w:line="240" w:lineRule="exac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lang w:val="en-US" w:eastAsia="zh-CN"/>
              </w:rPr>
              <w:t>2</w:t>
            </w:r>
            <w:r>
              <w:rPr>
                <w:rFonts w:hint="eastAsia" w:ascii="仿宋_GB2312" w:hAnsi="宋体" w:eastAsia="仿宋_GB2312"/>
                <w:color w:val="auto"/>
                <w:szCs w:val="21"/>
                <w:highlight w:val="none"/>
              </w:rPr>
              <w:t>“信用中国”网站(www.creditchina.gov.cn)、"中国政府采购网"(www.ccgp.gov.cn)等渠道查询投标人信用记录（失信被执行人、重大税收违法案件当事人名单、政府采购严重违法失信行为记录名单，建议查询结果网页打印</w:t>
            </w:r>
            <w:r>
              <w:rPr>
                <w:rFonts w:hint="eastAsia" w:ascii="仿宋_GB2312" w:hAnsi="宋体" w:eastAsia="仿宋_GB2312"/>
                <w:color w:val="auto"/>
                <w:szCs w:val="21"/>
                <w:highlight w:val="none"/>
                <w:lang w:eastAsia="zh-CN"/>
              </w:rPr>
              <w:t>（截图含网址）</w:t>
            </w:r>
            <w:r>
              <w:rPr>
                <w:rFonts w:hint="eastAsia" w:ascii="仿宋_GB2312" w:hAnsi="宋体" w:eastAsia="仿宋_GB2312"/>
                <w:color w:val="auto"/>
                <w:szCs w:val="21"/>
                <w:highlight w:val="none"/>
              </w:rPr>
              <w:t>并加盖投标人公章）</w:t>
            </w:r>
          </w:p>
          <w:p>
            <w:pPr>
              <w:spacing w:line="240" w:lineRule="exact"/>
              <w:rPr>
                <w:rFonts w:hint="eastAsia" w:ascii="宋体" w:hAnsi="宋体" w:eastAsia="宋体" w:cs="宋体"/>
                <w:color w:val="auto"/>
                <w:sz w:val="24"/>
                <w:szCs w:val="24"/>
                <w:highlight w:val="none"/>
              </w:rPr>
            </w:pPr>
            <w:r>
              <w:rPr>
                <w:rFonts w:hint="eastAsia" w:ascii="仿宋_GB2312" w:hAnsi="宋体" w:eastAsia="仿宋_GB2312"/>
                <w:color w:val="auto"/>
                <w:szCs w:val="21"/>
                <w:highlight w:val="none"/>
              </w:rPr>
              <w:t>3.以上查询时间为本项目采购公告发布之日起至响应文件递交截止时间前。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pPr>
              <w:spacing w:line="240" w:lineRule="exact"/>
              <w:rPr>
                <w:rFonts w:hint="eastAsia" w:ascii="宋体" w:hAnsi="宋体" w:eastAsia="宋体" w:cs="宋体"/>
                <w:color w:val="auto"/>
                <w:sz w:val="24"/>
                <w:szCs w:val="24"/>
                <w:highlight w:val="none"/>
                <w:lang w:val="zh-CN"/>
              </w:rPr>
            </w:pPr>
          </w:p>
        </w:tc>
        <w:tc>
          <w:tcPr>
            <w:tcW w:w="4679" w:type="dxa"/>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3564" w:type="dxa"/>
            <w:vAlign w:val="center"/>
          </w:tcPr>
          <w:p>
            <w:pPr>
              <w:spacing w:line="2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88" w:type="dxa"/>
            <w:gridSpan w:val="2"/>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356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第一篇</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四、投标人资格要求（二）特定资格条件”要求的证明材料</w:t>
            </w:r>
            <w:r>
              <w:rPr>
                <w:rFonts w:hint="eastAsia" w:ascii="宋体" w:hAnsi="宋体" w:eastAsia="宋体" w:cs="宋体"/>
                <w:color w:val="auto"/>
                <w:sz w:val="24"/>
                <w:szCs w:val="24"/>
                <w:highlight w:val="none"/>
              </w:rPr>
              <w:t>或相关承诺的复印件加盖公章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88" w:type="dxa"/>
            <w:gridSpan w:val="2"/>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3564" w:type="dxa"/>
            <w:vAlign w:val="center"/>
          </w:tcPr>
          <w:p>
            <w:pPr>
              <w:spacing w:line="2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符合采购文件</w:t>
            </w:r>
            <w:r>
              <w:rPr>
                <w:rFonts w:hint="eastAsia" w:ascii="宋体" w:hAnsi="宋体" w:cs="宋体"/>
                <w:color w:val="auto"/>
                <w:sz w:val="24"/>
                <w:szCs w:val="24"/>
                <w:highlight w:val="none"/>
                <w:lang w:eastAsia="zh-CN"/>
              </w:rPr>
              <w:t>要求</w:t>
            </w:r>
          </w:p>
        </w:tc>
      </w:tr>
    </w:tbl>
    <w:p>
      <w:pPr>
        <w:snapToGrid w:val="0"/>
        <w:spacing w:line="400" w:lineRule="exact"/>
        <w:rPr>
          <w:rFonts w:hint="eastAsia" w:ascii="宋体" w:hAnsi="宋体" w:eastAsia="宋体" w:cs="宋体"/>
          <w:color w:val="auto"/>
          <w:sz w:val="24"/>
          <w:szCs w:val="24"/>
          <w:highlight w:val="none"/>
        </w:rPr>
      </w:pP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符合性检查是依据谈判文件的规定，从投标文件的有效性、完整性和对采购文件的响应程度进行审查，以确定投标人是否对采购文件的实质性要求作出响应。符合性检查资料表如下：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5" w:type="dxa"/>
            <w:vMerge w:val="restart"/>
            <w:vAlign w:val="center"/>
          </w:tcPr>
          <w:p>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响应文件上法定代表人或其授权代表人的签字</w:t>
            </w:r>
            <w:r>
              <w:rPr>
                <w:rFonts w:hint="eastAsia" w:ascii="宋体" w:hAnsi="宋体" w:cs="宋体"/>
                <w:color w:val="auto"/>
                <w:sz w:val="24"/>
                <w:szCs w:val="24"/>
                <w:highlight w:val="none"/>
                <w:lang w:eastAsia="zh-CN"/>
              </w:rPr>
              <w:t>、公章盖章处均</w:t>
            </w:r>
            <w:r>
              <w:rPr>
                <w:rFonts w:hint="eastAsia" w:ascii="宋体" w:hAnsi="宋体" w:eastAsia="宋体" w:cs="宋体"/>
                <w:color w:val="auto"/>
                <w:sz w:val="24"/>
                <w:szCs w:val="24"/>
                <w:highlight w:val="none"/>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pPr>
              <w:spacing w:line="240" w:lineRule="exact"/>
              <w:rPr>
                <w:rFonts w:hint="eastAsia" w:ascii="宋体" w:hAnsi="宋体" w:eastAsia="宋体" w:cs="宋体"/>
                <w:color w:val="auto"/>
                <w:kern w:val="0"/>
                <w:sz w:val="24"/>
                <w:szCs w:val="24"/>
                <w:highlight w:val="none"/>
              </w:rPr>
            </w:pPr>
          </w:p>
        </w:tc>
        <w:tc>
          <w:tcPr>
            <w:tcW w:w="1984" w:type="dxa"/>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采购文件规定的格式且签章齐全。（法定代表人参加竞标活动并签署文件的不需要授权委托书，只需提供法定代表人身份证明；非法定代表人参加竞标活动及签署文件的除提供法定代表人身份证明外还须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pPr>
              <w:spacing w:line="240" w:lineRule="exact"/>
              <w:rPr>
                <w:rFonts w:hint="eastAsia" w:ascii="宋体" w:hAnsi="宋体" w:eastAsia="宋体" w:cs="宋体"/>
                <w:color w:val="auto"/>
                <w:kern w:val="0"/>
                <w:sz w:val="24"/>
                <w:szCs w:val="24"/>
                <w:highlight w:val="none"/>
              </w:rPr>
            </w:pPr>
          </w:p>
        </w:tc>
        <w:tc>
          <w:tcPr>
            <w:tcW w:w="1984" w:type="dxa"/>
            <w:vAlign w:val="center"/>
          </w:tcPr>
          <w:p>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pPr>
              <w:spacing w:line="240" w:lineRule="exact"/>
              <w:rPr>
                <w:rFonts w:hint="eastAsia" w:ascii="宋体" w:hAnsi="宋体" w:eastAsia="宋体" w:cs="宋体"/>
                <w:color w:val="auto"/>
                <w:kern w:val="0"/>
                <w:sz w:val="24"/>
                <w:szCs w:val="24"/>
                <w:highlight w:val="none"/>
              </w:rPr>
            </w:pPr>
          </w:p>
        </w:tc>
        <w:tc>
          <w:tcPr>
            <w:tcW w:w="1984" w:type="dxa"/>
            <w:vAlign w:val="center"/>
          </w:tcPr>
          <w:p>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Merge w:val="restart"/>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符合</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pPr>
              <w:spacing w:line="240" w:lineRule="exact"/>
              <w:rPr>
                <w:rFonts w:hint="eastAsia" w:ascii="宋体" w:hAnsi="宋体" w:eastAsia="宋体" w:cs="宋体"/>
                <w:color w:val="auto"/>
                <w:kern w:val="0"/>
                <w:sz w:val="24"/>
                <w:szCs w:val="24"/>
                <w:highlight w:val="none"/>
              </w:rPr>
            </w:pPr>
          </w:p>
        </w:tc>
        <w:tc>
          <w:tcPr>
            <w:tcW w:w="1984" w:type="dxa"/>
            <w:vAlign w:val="center"/>
          </w:tcPr>
          <w:p>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文件内容</w:t>
            </w:r>
          </w:p>
        </w:tc>
        <w:tc>
          <w:tcPr>
            <w:tcW w:w="5409" w:type="dxa"/>
            <w:vAlign w:val="center"/>
          </w:tcPr>
          <w:p>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响应文件格式、内容齐全、无遗漏。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5" w:type="dxa"/>
            <w:vMerge w:val="restart"/>
            <w:vAlign w:val="center"/>
          </w:tcPr>
          <w:p>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响应程度审查</w:t>
            </w:r>
          </w:p>
        </w:tc>
        <w:tc>
          <w:tcPr>
            <w:tcW w:w="1984"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pPr>
              <w:pStyle w:val="11"/>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对采购文件规定的</w:t>
            </w:r>
            <w:r>
              <w:rPr>
                <w:rFonts w:hint="eastAsia" w:ascii="宋体" w:hAnsi="宋体" w:cs="宋体"/>
                <w:color w:val="auto"/>
                <w:kern w:val="0"/>
                <w:sz w:val="24"/>
                <w:szCs w:val="24"/>
                <w:highlight w:val="none"/>
                <w:lang w:eastAsia="zh-CN"/>
              </w:rPr>
              <w:t>项目要求，包括</w:t>
            </w:r>
            <w:r>
              <w:rPr>
                <w:rFonts w:hint="eastAsia" w:ascii="宋体" w:hAnsi="宋体" w:eastAsia="宋体" w:cs="宋体"/>
                <w:color w:val="auto"/>
                <w:kern w:val="0"/>
                <w:sz w:val="24"/>
                <w:szCs w:val="24"/>
                <w:highlight w:val="none"/>
              </w:rPr>
              <w:t>技术、服务</w:t>
            </w:r>
            <w:r>
              <w:rPr>
                <w:rFonts w:hint="eastAsia" w:ascii="宋体" w:hAnsi="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pPr>
              <w:spacing w:line="240" w:lineRule="exact"/>
              <w:rPr>
                <w:rFonts w:hint="eastAsia" w:ascii="宋体" w:hAnsi="宋体" w:eastAsia="宋体" w:cs="宋体"/>
                <w:color w:val="auto"/>
                <w:sz w:val="24"/>
                <w:szCs w:val="24"/>
                <w:highlight w:val="none"/>
                <w:lang w:val="zh-CN"/>
              </w:rPr>
            </w:pPr>
          </w:p>
        </w:tc>
        <w:tc>
          <w:tcPr>
            <w:tcW w:w="1984"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谈判有效期</w:t>
            </w:r>
          </w:p>
        </w:tc>
        <w:tc>
          <w:tcPr>
            <w:tcW w:w="5409"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w:t>
            </w:r>
            <w:r>
              <w:rPr>
                <w:rFonts w:hint="eastAsia" w:ascii="宋体" w:hAnsi="宋体" w:eastAsia="宋体" w:cs="宋体"/>
                <w:color w:val="auto"/>
                <w:sz w:val="24"/>
                <w:szCs w:val="24"/>
                <w:highlight w:val="none"/>
                <w:lang w:val="zh-CN"/>
              </w:rPr>
              <w:t>规定。</w:t>
            </w:r>
          </w:p>
        </w:tc>
      </w:tr>
    </w:tbl>
    <w:p>
      <w:pPr>
        <w:adjustRightInd w:val="0"/>
        <w:snapToGrid w:val="0"/>
        <w:spacing w:line="360" w:lineRule="auto"/>
        <w:rPr>
          <w:rFonts w:hint="eastAsia" w:ascii="宋体" w:hAnsi="宋体" w:eastAsia="宋体" w:cs="宋体"/>
          <w:b/>
          <w:color w:val="auto"/>
          <w:sz w:val="24"/>
          <w:szCs w:val="24"/>
          <w:highlight w:val="none"/>
        </w:rPr>
      </w:pP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过程中</w:t>
      </w:r>
      <w:r>
        <w:rPr>
          <w:rFonts w:hint="eastAsia" w:asciiTheme="minorEastAsia" w:hAnsiTheme="minorEastAsia" w:eastAsiaTheme="minorEastAsia" w:cstheme="minorEastAsia"/>
          <w:color w:val="auto"/>
          <w:sz w:val="24"/>
          <w:szCs w:val="24"/>
          <w:highlight w:val="none"/>
          <w:lang w:eastAsia="zh-CN"/>
        </w:rPr>
        <w:t>参与</w:t>
      </w:r>
      <w:r>
        <w:rPr>
          <w:rFonts w:hint="eastAsia" w:asciiTheme="minorEastAsia" w:hAnsiTheme="minorEastAsia" w:eastAsiaTheme="minorEastAsia" w:cstheme="minorEastAsia"/>
          <w:color w:val="auto"/>
          <w:sz w:val="24"/>
          <w:szCs w:val="24"/>
          <w:highlight w:val="none"/>
        </w:rPr>
        <w:t>的任何一方不得向他人透露与磋商有关的</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过程中，评审小组可以根据采购文件和谈判磋商情况实质性变动采购需求中的技术、服务要求，但不得变动采购文件中的其他内容。实质性变动的内容，须经采购人需求科室代表确认。对采购文件作出的实质性变动是采购文件的有效组成部分，评审小组应当及时通知所有参与供应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（七）供应商在采购时作出的所有书面承诺须由法定代表人或其授权代表签字。</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（八）供应商应当按照采购文件的变动情况和评审小组的要求做出相关的书面承诺。</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（九）评审</w:t>
      </w:r>
      <w:r>
        <w:rPr>
          <w:rFonts w:hint="eastAsia" w:asciiTheme="minorEastAsia" w:hAnsiTheme="minorEastAsia" w:eastAsiaTheme="minorEastAsia" w:cstheme="minorEastAsia"/>
          <w:color w:val="auto"/>
          <w:sz w:val="24"/>
          <w:szCs w:val="24"/>
          <w:highlight w:val="none"/>
        </w:rPr>
        <w:t>小组采用综合评分法对供应商的响应文件（含有效书面承诺）</w:t>
      </w:r>
      <w:r>
        <w:rPr>
          <w:rFonts w:hint="eastAsia" w:asciiTheme="minorEastAsia" w:hAnsiTheme="minorEastAsia" w:eastAsiaTheme="minorEastAsia" w:cstheme="minorEastAsia"/>
          <w:color w:val="auto"/>
          <w:sz w:val="24"/>
          <w:szCs w:val="24"/>
          <w:highlight w:val="none"/>
          <w:lang w:eastAsia="zh-CN"/>
        </w:rPr>
        <w:t>及现场演示</w:t>
      </w:r>
      <w:r>
        <w:rPr>
          <w:rFonts w:hint="eastAsia" w:asciiTheme="minorEastAsia" w:hAnsiTheme="minorEastAsia" w:eastAsiaTheme="minorEastAsia" w:cstheme="minorEastAsia"/>
          <w:color w:val="auto"/>
          <w:sz w:val="24"/>
          <w:szCs w:val="24"/>
          <w:highlight w:val="none"/>
        </w:rPr>
        <w:t>进行综合评分。综合评分法，是指响应文件满足竞争性磋商文件全部实质性要求且按照评审因素的量化指标评审得分最高的供应商为成交候选供应商的评审方法。供应商总得分为价格、</w:t>
      </w:r>
      <w:r>
        <w:rPr>
          <w:rFonts w:hint="eastAsia" w:asciiTheme="minorEastAsia" w:hAnsiTheme="minorEastAsia" w:eastAsiaTheme="minorEastAsia" w:cstheme="minorEastAsia"/>
          <w:color w:val="auto"/>
          <w:sz w:val="24"/>
          <w:szCs w:val="24"/>
          <w:highlight w:val="none"/>
          <w:lang w:eastAsia="zh-CN"/>
        </w:rPr>
        <w:t>技术、</w:t>
      </w:r>
      <w:r>
        <w:rPr>
          <w:rFonts w:hint="eastAsia" w:asciiTheme="minorEastAsia" w:hAnsiTheme="minorEastAsia" w:eastAsiaTheme="minorEastAsia" w:cstheme="minorEastAsia"/>
          <w:color w:val="auto"/>
          <w:sz w:val="24"/>
          <w:szCs w:val="24"/>
          <w:highlight w:val="none"/>
        </w:rPr>
        <w:t>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lang w:val="en-US" w:eastAsia="zh-CN"/>
        </w:rPr>
        <w:t>按照评审得分由高到低顺序推荐3 名成交候选供应商。</w:t>
      </w:r>
      <w:r>
        <w:rPr>
          <w:rFonts w:hint="eastAsia" w:asciiTheme="minorEastAsia" w:hAnsiTheme="minorEastAsia" w:eastAsiaTheme="minorEastAsia" w:cstheme="minorEastAsia"/>
          <w:color w:val="auto"/>
          <w:sz w:val="24"/>
          <w:szCs w:val="24"/>
          <w:highlight w:val="none"/>
          <w:lang w:eastAsia="zh-CN"/>
        </w:rPr>
        <w:t>若第一中标候选人放弃中标，采购人有权选择排名第二的单位。</w:t>
      </w:r>
    </w:p>
    <w:p>
      <w:pPr>
        <w:spacing w:line="400" w:lineRule="exact"/>
        <w:ind w:firstLine="480" w:firstLineChars="200"/>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color w:val="auto"/>
          <w:sz w:val="24"/>
          <w:szCs w:val="24"/>
          <w:highlight w:val="none"/>
        </w:rPr>
        <w:t>（十）</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小组各成员独立对每个实质性响应文件进行评价、打分，然后汇总每个供应商每项评分因素的得分，并根据综合评分情况按照评审得分由高到低顺序推荐3名以上成交候选供应商，并编写评审</w:t>
      </w:r>
      <w:r>
        <w:rPr>
          <w:rFonts w:hint="eastAsia" w:asciiTheme="minorEastAsia" w:hAnsiTheme="minorEastAsia" w:eastAsiaTheme="minorEastAsia" w:cstheme="minorEastAsia"/>
          <w:color w:val="auto"/>
          <w:sz w:val="24"/>
          <w:szCs w:val="24"/>
          <w:highlight w:val="none"/>
          <w:lang w:eastAsia="zh-CN"/>
        </w:rPr>
        <w:t>纪要</w:t>
      </w:r>
      <w:r>
        <w:rPr>
          <w:rFonts w:hint="eastAsia" w:asciiTheme="minorEastAsia" w:hAnsiTheme="minorEastAsia" w:eastAsiaTheme="minorEastAsia" w:cstheme="minorEastAsia"/>
          <w:color w:val="auto"/>
          <w:sz w:val="24"/>
          <w:szCs w:val="24"/>
          <w:highlight w:val="none"/>
        </w:rPr>
        <w:t>。若供应商的评审得分相同的，按照报价由低到高的顺序排列推荐。评审得分且报价相同的，按照</w:t>
      </w:r>
      <w:r>
        <w:rPr>
          <w:rFonts w:hint="eastAsia" w:asciiTheme="minorEastAsia" w:hAnsiTheme="minorEastAsia" w:eastAsiaTheme="minorEastAsia" w:cstheme="minorEastAsia"/>
          <w:color w:val="auto"/>
          <w:sz w:val="24"/>
          <w:szCs w:val="24"/>
          <w:highlight w:val="none"/>
          <w:lang w:eastAsia="zh-CN"/>
        </w:rPr>
        <w:t>技术</w:t>
      </w:r>
      <w:r>
        <w:rPr>
          <w:rFonts w:hint="eastAsia" w:asciiTheme="minorEastAsia" w:hAnsiTheme="minorEastAsia" w:eastAsiaTheme="minorEastAsia" w:cstheme="minorEastAsia"/>
          <w:color w:val="auto"/>
          <w:sz w:val="24"/>
          <w:szCs w:val="24"/>
          <w:highlight w:val="none"/>
        </w:rPr>
        <w:t>部分的得分由高到低的顺序排列推荐。</w:t>
      </w:r>
      <w:r>
        <w:rPr>
          <w:rFonts w:hint="eastAsia" w:asciiTheme="minorEastAsia" w:hAnsiTheme="minorEastAsia" w:eastAsiaTheme="minorEastAsia" w:cstheme="minorEastAsia"/>
          <w:strike w:val="0"/>
          <w:dstrike w:val="0"/>
          <w:color w:val="auto"/>
          <w:sz w:val="24"/>
          <w:szCs w:val="24"/>
          <w:highlight w:val="none"/>
        </w:rPr>
        <w:t>若所推荐的供应商的</w:t>
      </w:r>
      <w:r>
        <w:rPr>
          <w:rFonts w:hint="eastAsia" w:asciiTheme="minorEastAsia" w:hAnsiTheme="minorEastAsia" w:eastAsiaTheme="minorEastAsia" w:cstheme="minorEastAsia"/>
          <w:strike w:val="0"/>
          <w:dstrike w:val="0"/>
          <w:color w:val="auto"/>
          <w:sz w:val="24"/>
          <w:szCs w:val="24"/>
          <w:highlight w:val="none"/>
          <w:lang w:eastAsia="zh-CN"/>
        </w:rPr>
        <w:t>技术</w:t>
      </w:r>
      <w:r>
        <w:rPr>
          <w:rFonts w:hint="eastAsia" w:asciiTheme="minorEastAsia" w:hAnsiTheme="minorEastAsia" w:eastAsiaTheme="minorEastAsia" w:cstheme="minorEastAsia"/>
          <w:strike w:val="0"/>
          <w:dstrike w:val="0"/>
          <w:color w:val="auto"/>
          <w:sz w:val="24"/>
          <w:szCs w:val="24"/>
          <w:highlight w:val="none"/>
        </w:rPr>
        <w:t>部分为0分，将失去成为成交候选供应商的资格。</w:t>
      </w:r>
    </w:p>
    <w:p>
      <w:pPr>
        <w:spacing w:line="27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十一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成交通知书送达后原则上30日内签订合同，成交供应商逾期未签订合同的，视为成交供应商拒绝签订合同，成交供应商承担相应违约责任。</w:t>
      </w:r>
    </w:p>
    <w:p>
      <w:pPr>
        <w:pStyle w:val="4"/>
        <w:jc w:val="left"/>
        <w:rPr>
          <w:rFonts w:hint="eastAsia"/>
          <w:color w:val="auto"/>
          <w:highlight w:val="none"/>
        </w:rPr>
      </w:pPr>
    </w:p>
    <w:p>
      <w:pPr>
        <w:numPr>
          <w:ilvl w:val="0"/>
          <w:numId w:val="1"/>
        </w:numPr>
        <w:adjustRightInd w:val="0"/>
        <w:snapToGrid w:val="0"/>
        <w:spacing w:line="360" w:lineRule="auto"/>
        <w:ind w:firstLine="472" w:firstLineChars="196"/>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评审标准</w:t>
      </w:r>
    </w:p>
    <w:tbl>
      <w:tblPr>
        <w:tblStyle w:val="19"/>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00"/>
        <w:gridCol w:w="1000"/>
        <w:gridCol w:w="537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序号</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评分因素及权值</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分值</w:t>
            </w:r>
          </w:p>
        </w:tc>
        <w:tc>
          <w:tcPr>
            <w:tcW w:w="5376"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评分标准</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pStyle w:val="37"/>
              <w:rPr>
                <w:rFonts w:hint="eastAsia" w:ascii="宋体" w:hAnsi="宋体" w:eastAsia="宋体" w:cs="宋体"/>
                <w:color w:val="000000"/>
                <w:sz w:val="20"/>
                <w:szCs w:val="20"/>
              </w:rPr>
            </w:pPr>
            <w:r>
              <w:rPr>
                <w:rFonts w:hint="eastAsia" w:ascii="宋体" w:hAnsi="宋体" w:eastAsia="宋体" w:cs="宋体"/>
                <w:color w:val="00000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报价</w:t>
            </w:r>
            <w:r>
              <w:rPr>
                <w:rFonts w:hint="eastAsia" w:ascii="宋体" w:hAnsi="宋体" w:eastAsia="宋体" w:cs="宋体"/>
                <w:color w:val="000000"/>
                <w:sz w:val="20"/>
                <w:szCs w:val="20"/>
                <w:lang w:val="en-US" w:eastAsia="zh-CN"/>
              </w:rPr>
              <w:t>部分</w:t>
            </w:r>
          </w:p>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15</w:t>
            </w:r>
            <w:r>
              <w:rPr>
                <w:rFonts w:hint="eastAsia" w:ascii="宋体" w:hAnsi="宋体" w:eastAsia="宋体" w:cs="宋体"/>
                <w:color w:val="000000"/>
                <w:sz w:val="20"/>
                <w:szCs w:val="20"/>
              </w:rPr>
              <w:t>%）</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价格分15分</w:t>
            </w:r>
          </w:p>
        </w:tc>
        <w:tc>
          <w:tcPr>
            <w:tcW w:w="53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满足资格性、符合性要求且最后报价最低的供应商的价格为磋商基准价，其价格分为满分。其他供应商的价格分统一按照下列公式计算：</w:t>
            </w:r>
          </w:p>
          <w:p>
            <w:pPr>
              <w:rPr>
                <w:rFonts w:hint="eastAsia" w:ascii="宋体" w:hAnsi="宋体" w:eastAsia="宋体" w:cs="宋体"/>
                <w:color w:val="000000"/>
                <w:sz w:val="20"/>
                <w:szCs w:val="20"/>
              </w:rPr>
            </w:pPr>
            <w:r>
              <w:rPr>
                <w:rFonts w:hint="eastAsia" w:ascii="宋体" w:hAnsi="宋体" w:eastAsia="宋体" w:cs="宋体"/>
                <w:color w:val="000000"/>
                <w:sz w:val="20"/>
                <w:szCs w:val="20"/>
              </w:rPr>
              <w:t>磋商报价得分=（磋商基准价/最后磋商报价）×价格权值×100，（按四舍五入法保留两位小数）</w:t>
            </w:r>
          </w:p>
          <w:p>
            <w:pPr>
              <w:rPr>
                <w:rFonts w:hint="eastAsia" w:ascii="宋体" w:hAnsi="宋体" w:eastAsia="宋体" w:cs="宋体"/>
                <w:color w:val="000000"/>
                <w:sz w:val="20"/>
                <w:szCs w:val="20"/>
              </w:rPr>
            </w:pPr>
            <w:r>
              <w:rPr>
                <w:rFonts w:hint="eastAsia" w:ascii="宋体" w:hAnsi="宋体" w:eastAsia="宋体" w:cs="宋体"/>
                <w:color w:val="000000"/>
                <w:sz w:val="20"/>
                <w:szCs w:val="20"/>
              </w:rPr>
              <w:t>项目评审过程中，不得去掉最后报价中的最高报价和最低报价。</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ind w:left="-38"/>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655" w:type="dxa"/>
            <w:vMerge w:val="restart"/>
            <w:tcBorders>
              <w:top w:val="nil"/>
              <w:left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100" w:type="dxa"/>
            <w:vMerge w:val="restart"/>
            <w:tcBorders>
              <w:top w:val="nil"/>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rPr>
              <w:t>技术部分</w:t>
            </w:r>
          </w:p>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5</w:t>
            </w:r>
            <w:r>
              <w:rPr>
                <w:rFonts w:hint="eastAsia" w:ascii="宋体" w:hAnsi="宋体" w:cs="宋体"/>
                <w:color w:val="000000"/>
                <w:sz w:val="20"/>
                <w:szCs w:val="20"/>
                <w:lang w:val="en-US" w:eastAsia="zh-CN"/>
              </w:rPr>
              <w:t>5</w:t>
            </w:r>
            <w:r>
              <w:rPr>
                <w:rFonts w:hint="eastAsia" w:ascii="宋体" w:hAnsi="宋体" w:eastAsia="宋体" w:cs="宋体"/>
                <w:color w:val="000000"/>
                <w:sz w:val="20"/>
                <w:szCs w:val="20"/>
              </w:rPr>
              <w:t>%）</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技术响应程度（</w:t>
            </w:r>
            <w:r>
              <w:rPr>
                <w:rFonts w:hint="eastAsia" w:ascii="宋体" w:hAnsi="宋体" w:eastAsia="宋体" w:cs="宋体"/>
                <w:color w:val="000000"/>
                <w:sz w:val="20"/>
                <w:szCs w:val="20"/>
                <w:lang w:val="en-US" w:eastAsia="zh-CN"/>
              </w:rPr>
              <w:t>30</w:t>
            </w:r>
            <w:r>
              <w:rPr>
                <w:rFonts w:hint="eastAsia" w:ascii="宋体" w:hAnsi="宋体" w:eastAsia="宋体" w:cs="宋体"/>
                <w:color w:val="000000"/>
                <w:sz w:val="20"/>
                <w:szCs w:val="20"/>
              </w:rPr>
              <w:t>分）</w:t>
            </w:r>
          </w:p>
        </w:tc>
        <w:tc>
          <w:tcPr>
            <w:tcW w:w="53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技术参数响应情况: </w:t>
            </w:r>
          </w:p>
          <w:p>
            <w:pP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1.根据投标人对采购文件采购需求的响应情况进行打分，供应商所报内容的技术参数全部满足招标文件技术要求的，本项最高得 </w:t>
            </w:r>
            <w:r>
              <w:rPr>
                <w:rFonts w:hint="eastAsia" w:ascii="宋体" w:hAnsi="宋体" w:eastAsia="宋体" w:cs="宋体"/>
                <w:color w:val="000000"/>
                <w:sz w:val="20"/>
                <w:szCs w:val="20"/>
                <w:lang w:val="en-US" w:eastAsia="zh-CN"/>
              </w:rPr>
              <w:t>30</w:t>
            </w:r>
            <w:r>
              <w:rPr>
                <w:rFonts w:hint="eastAsia" w:ascii="宋体" w:hAnsi="宋体" w:eastAsia="宋体" w:cs="宋体"/>
                <w:color w:val="000000"/>
                <w:sz w:val="20"/>
                <w:szCs w:val="20"/>
              </w:rPr>
              <w:t xml:space="preserve">分。 </w:t>
            </w:r>
          </w:p>
          <w:p>
            <w:pPr>
              <w:rPr>
                <w:rFonts w:hint="eastAsia" w:ascii="宋体" w:hAnsi="宋体" w:eastAsia="宋体" w:cs="宋体"/>
                <w:color w:val="000000"/>
                <w:sz w:val="20"/>
                <w:szCs w:val="20"/>
              </w:rPr>
            </w:pPr>
            <w:r>
              <w:rPr>
                <w:rFonts w:hint="eastAsia" w:ascii="宋体" w:hAnsi="宋体" w:eastAsia="宋体" w:cs="宋体"/>
                <w:color w:val="000000"/>
                <w:sz w:val="20"/>
                <w:szCs w:val="20"/>
              </w:rPr>
              <w:t>2.负偏离:带“★”条款负偏离一项，则技术响应部分</w:t>
            </w:r>
            <w:r>
              <w:rPr>
                <w:rFonts w:hint="eastAsia" w:ascii="宋体" w:hAnsi="宋体" w:eastAsia="宋体" w:cs="宋体"/>
                <w:color w:val="000000"/>
                <w:sz w:val="20"/>
                <w:szCs w:val="20"/>
                <w:lang w:eastAsia="zh-CN"/>
              </w:rPr>
              <w:t>扣</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0分；非“★”条款每负偏离一项扣5分，扣完为止。</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655" w:type="dxa"/>
            <w:vMerge w:val="continue"/>
            <w:tcBorders>
              <w:left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rPr>
            </w:pPr>
          </w:p>
        </w:tc>
        <w:tc>
          <w:tcPr>
            <w:tcW w:w="1100" w:type="dxa"/>
            <w:vMerge w:val="continue"/>
            <w:tcBorders>
              <w:left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功能响应</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5</w:t>
            </w:r>
            <w:r>
              <w:rPr>
                <w:rFonts w:hint="eastAsia" w:ascii="宋体" w:hAnsi="宋体" w:eastAsia="宋体" w:cs="宋体"/>
                <w:color w:val="000000"/>
                <w:sz w:val="20"/>
                <w:szCs w:val="20"/>
              </w:rPr>
              <w:t>分</w:t>
            </w:r>
            <w:r>
              <w:rPr>
                <w:rFonts w:hint="eastAsia" w:ascii="宋体" w:hAnsi="宋体" w:eastAsia="宋体" w:cs="宋体"/>
                <w:color w:val="000000"/>
                <w:sz w:val="20"/>
                <w:szCs w:val="20"/>
                <w:lang w:eastAsia="zh-CN"/>
              </w:rPr>
              <w:t>）</w:t>
            </w:r>
          </w:p>
        </w:tc>
        <w:tc>
          <w:tcPr>
            <w:tcW w:w="537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内容安全检测：支持敏感文本、图片、文档在线检测功能；支持自定义敏感关键词、敏感忽略词、用户黑白名单、图片名单。支持通过用户风险统计、垃圾发布量、垃圾发布率的维度统计用户风险。</w:t>
            </w:r>
            <w:r>
              <w:rPr>
                <w:rFonts w:hint="eastAsia" w:ascii="宋体" w:hAnsi="宋体" w:eastAsia="宋体" w:cs="宋体"/>
                <w:color w:val="000000"/>
                <w:sz w:val="20"/>
                <w:szCs w:val="20"/>
                <w:lang w:eastAsia="zh-CN"/>
              </w:rPr>
              <w:t>投标文件包含上述相关说明支撑材料得</w:t>
            </w:r>
            <w:r>
              <w:rPr>
                <w:rFonts w:hint="eastAsia" w:ascii="宋体" w:hAnsi="宋体" w:eastAsia="宋体" w:cs="宋体"/>
                <w:color w:val="000000"/>
                <w:sz w:val="20"/>
                <w:szCs w:val="20"/>
                <w:lang w:val="en-US" w:eastAsia="zh-CN"/>
              </w:rPr>
              <w:t>2分，</w:t>
            </w:r>
            <w:r>
              <w:rPr>
                <w:rFonts w:hint="eastAsia" w:ascii="宋体" w:hAnsi="宋体" w:eastAsia="宋体" w:cs="宋体"/>
                <w:color w:val="000000"/>
                <w:sz w:val="20"/>
                <w:szCs w:val="20"/>
              </w:rPr>
              <w:t>演示成功得</w:t>
            </w: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分，</w:t>
            </w:r>
            <w:r>
              <w:rPr>
                <w:rFonts w:hint="eastAsia" w:ascii="宋体" w:hAnsi="宋体" w:eastAsia="宋体" w:cs="宋体"/>
                <w:color w:val="000000"/>
                <w:sz w:val="20"/>
                <w:szCs w:val="20"/>
                <w:lang w:eastAsia="zh-CN"/>
              </w:rPr>
              <w:t>未提供材料或</w:t>
            </w:r>
            <w:r>
              <w:rPr>
                <w:rFonts w:hint="eastAsia" w:ascii="宋体" w:hAnsi="宋体" w:eastAsia="宋体" w:cs="宋体"/>
                <w:color w:val="000000"/>
                <w:sz w:val="20"/>
                <w:szCs w:val="20"/>
              </w:rPr>
              <w:t>不按要求演示不得分。</w:t>
            </w:r>
          </w:p>
          <w:p>
            <w:pP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课程知识图谱管理:支持关联关系自定义，可进行添加描述并显示在图谱页面；支持进行跨课知识点关联，实现不同课程自之间知识的聚合联动，关联后可以实现跨课学习并进行专业下多门课程的知识点关联展示应用；演示成功得</w:t>
            </w: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分，不按要求演示不得分。</w:t>
            </w:r>
          </w:p>
          <w:p>
            <w:pP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、作业查重：对于简答题、论述题等，可进行学生作业之间相似度分析。演示成功得</w:t>
            </w: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分，不按要求演示不得分。</w:t>
            </w:r>
          </w:p>
          <w:p>
            <w:pPr>
              <w:rPr>
                <w:rFonts w:hint="eastAsia" w:eastAsia="宋体"/>
                <w:lang w:val="en-US" w:eastAsia="zh-CN"/>
              </w:rPr>
            </w:pP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、组好的试卷可进行封存保管，对封存的试卷在考试前必须输入试卷密码才能开启试卷。演示成功得3分，不按要求演示不得分。</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auto"/>
                <w:sz w:val="20"/>
                <w:szCs w:val="20"/>
              </w:rPr>
              <w:t>投标人需自行携带演示设备进行演示。需提供实际课程运行平台进演示，通过其他演示方式（如原型设计软件/视频/录屏/截图/文档等演示方式）不得分。时间不超过</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5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0"/>
                <w:szCs w:val="20"/>
              </w:rPr>
            </w:pPr>
          </w:p>
        </w:tc>
        <w:tc>
          <w:tcPr>
            <w:tcW w:w="11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0"/>
                <w:szCs w:val="20"/>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hint="eastAsia" w:ascii="宋体" w:hAnsi="宋体" w:eastAsia="宋体" w:cs="宋体"/>
                <w:color w:val="auto"/>
                <w:sz w:val="20"/>
                <w:szCs w:val="20"/>
              </w:rPr>
            </w:pPr>
            <w:r>
              <w:rPr>
                <w:rFonts w:hint="eastAsia" w:ascii="宋体" w:hAnsi="宋体" w:eastAsia="宋体" w:cs="宋体"/>
                <w:color w:val="auto"/>
                <w:sz w:val="20"/>
                <w:szCs w:val="20"/>
              </w:rPr>
              <w:t>现</w:t>
            </w:r>
            <w:r>
              <w:rPr>
                <w:rFonts w:hint="eastAsia" w:ascii="宋体" w:hAnsi="宋体" w:eastAsia="宋体" w:cs="宋体"/>
                <w:color w:val="auto"/>
                <w:sz w:val="20"/>
                <w:szCs w:val="20"/>
                <w:lang w:eastAsia="zh-CN"/>
              </w:rPr>
              <w:t>场</w:t>
            </w:r>
            <w:r>
              <w:rPr>
                <w:rFonts w:hint="eastAsia" w:ascii="宋体" w:hAnsi="宋体" w:eastAsia="宋体" w:cs="宋体"/>
                <w:color w:val="auto"/>
                <w:sz w:val="20"/>
                <w:szCs w:val="20"/>
              </w:rPr>
              <w:t>演示（</w:t>
            </w: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分）</w:t>
            </w:r>
          </w:p>
        </w:tc>
        <w:tc>
          <w:tcPr>
            <w:tcW w:w="53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投标供应商选取与招标单位专业相关的1个知识点进行视频资源的演示，展示时间不少于60秒的demo作品，包括制作脚本和成品。演示内容完整、易懂、设计合理的得5分；演示内容简单、有设计缺陷的得3分；演示内容模糊的得1分，不演示得0分。</w:t>
            </w:r>
          </w:p>
          <w:p>
            <w:pPr>
              <w:rPr>
                <w:rFonts w:hint="eastAsia" w:ascii="宋体" w:hAnsi="宋体" w:eastAsia="宋体" w:cs="宋体"/>
                <w:color w:val="auto"/>
                <w:sz w:val="20"/>
                <w:szCs w:val="20"/>
              </w:rPr>
            </w:pPr>
            <w:r>
              <w:rPr>
                <w:rFonts w:hint="eastAsia" w:ascii="宋体" w:hAnsi="宋体" w:eastAsia="宋体" w:cs="宋体"/>
                <w:color w:val="000000"/>
                <w:sz w:val="20"/>
                <w:szCs w:val="20"/>
                <w:lang w:val="en-US" w:eastAsia="zh-CN"/>
              </w:rPr>
              <w:t>2、数字人微课视频演示，提供投标供应商已经制作的数字人微课视频演示，真人真声定制，数字人人像构建还原度达到98%，数字人声音构建还原度达98%。演示成功得5分，不按要求演示或不演示不得分。</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供应商需自行携带演示设备进行演示，演示时间不超过5分钟。</w:t>
            </w:r>
          </w:p>
          <w:p>
            <w:pPr>
              <w:autoSpaceDE w:val="0"/>
              <w:autoSpaceDN w:val="0"/>
              <w:adjustRightInd w:val="0"/>
              <w:snapToGrid w:val="0"/>
              <w:jc w:val="left"/>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tcBorders>
              <w:top w:val="nil"/>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p>
            <w:pPr>
              <w:ind w:firstLine="28"/>
              <w:jc w:val="center"/>
              <w:rPr>
                <w:rFonts w:hint="eastAsia" w:ascii="宋体" w:hAnsi="宋体" w:eastAsia="宋体" w:cs="宋体"/>
                <w:color w:val="000000"/>
                <w:sz w:val="20"/>
                <w:szCs w:val="20"/>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rPr>
              <w:t>商务部分</w:t>
            </w:r>
          </w:p>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0</w:t>
            </w:r>
            <w:r>
              <w:rPr>
                <w:rFonts w:hint="eastAsia" w:ascii="宋体" w:hAnsi="宋体" w:eastAsia="宋体" w:cs="宋体"/>
                <w:color w:val="000000"/>
                <w:sz w:val="20"/>
                <w:szCs w:val="20"/>
              </w:rPr>
              <w:t>%）</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rPr>
              <w:t>企业能力（10分）</w:t>
            </w:r>
          </w:p>
        </w:tc>
        <w:tc>
          <w:tcPr>
            <w:tcW w:w="5376" w:type="dxa"/>
            <w:tcBorders>
              <w:top w:val="single" w:color="auto" w:sz="4" w:space="0"/>
              <w:left w:val="single" w:color="auto" w:sz="4" w:space="0"/>
              <w:bottom w:val="single" w:color="auto" w:sz="4" w:space="0"/>
              <w:right w:val="single" w:color="auto" w:sz="4" w:space="0"/>
            </w:tcBorders>
            <w:noWrap w:val="0"/>
            <w:vAlign w:val="center"/>
          </w:tcPr>
          <w:p>
            <w:pPr>
              <w:ind w:firstLine="28"/>
              <w:jc w:val="left"/>
              <w:rPr>
                <w:rFonts w:hint="eastAsia" w:ascii="宋体" w:hAnsi="宋体" w:eastAsia="宋体" w:cs="宋体"/>
                <w:color w:val="000000"/>
                <w:sz w:val="20"/>
                <w:szCs w:val="20"/>
              </w:rPr>
            </w:pPr>
            <w:r>
              <w:rPr>
                <w:rFonts w:hint="eastAsia" w:ascii="宋体" w:hAnsi="宋体" w:eastAsia="宋体" w:cs="宋体"/>
                <w:color w:val="000000"/>
                <w:sz w:val="20"/>
                <w:szCs w:val="20"/>
              </w:rPr>
              <w:t>1、具有企业信用具有AAA等级</w:t>
            </w:r>
            <w:r>
              <w:rPr>
                <w:rFonts w:hint="eastAsia" w:ascii="宋体" w:hAnsi="宋体" w:eastAsia="宋体" w:cs="宋体"/>
                <w:color w:val="000000"/>
                <w:sz w:val="20"/>
                <w:szCs w:val="20"/>
                <w:lang w:eastAsia="zh-CN"/>
              </w:rPr>
              <w:t>及以上</w:t>
            </w:r>
            <w:r>
              <w:rPr>
                <w:rFonts w:hint="eastAsia" w:ascii="宋体" w:hAnsi="宋体" w:eastAsia="宋体" w:cs="宋体"/>
                <w:color w:val="000000"/>
                <w:sz w:val="20"/>
                <w:szCs w:val="20"/>
              </w:rPr>
              <w:t>证书的得1分</w:t>
            </w:r>
          </w:p>
          <w:p>
            <w:pPr>
              <w:ind w:firstLine="28"/>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、具有ISO9001质量管理体系认证证书的得1分</w:t>
            </w:r>
          </w:p>
          <w:p>
            <w:pPr>
              <w:ind w:firstLine="28"/>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具有</w:t>
            </w:r>
            <w:r>
              <w:rPr>
                <w:rFonts w:hint="eastAsia" w:ascii="宋体" w:hAnsi="宋体" w:eastAsia="宋体" w:cs="宋体"/>
                <w:color w:val="000000"/>
                <w:sz w:val="20"/>
                <w:szCs w:val="20"/>
              </w:rPr>
              <w:t>在线虚拟课件制作系统软件著作权登记证书得</w:t>
            </w: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分</w:t>
            </w:r>
          </w:p>
          <w:p>
            <w:pPr>
              <w:ind w:firstLine="28"/>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、具有云盘国家计算机软件著作权登记证书的得2分</w:t>
            </w:r>
          </w:p>
          <w:p>
            <w:pPr>
              <w:ind w:firstLine="28"/>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、具有智慧阅读系统软件著作权登记证书的得2分</w:t>
            </w:r>
          </w:p>
          <w:p>
            <w:pPr>
              <w:ind w:firstLine="28"/>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6</w:t>
            </w:r>
            <w:r>
              <w:rPr>
                <w:rFonts w:hint="eastAsia" w:ascii="宋体" w:hAnsi="宋体" w:eastAsia="宋体" w:cs="宋体"/>
                <w:color w:val="000000"/>
                <w:sz w:val="20"/>
                <w:szCs w:val="20"/>
              </w:rPr>
              <w:t>、具有智慧教学系统的国家信息安全等保三级证书得2分</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hint="eastAsia" w:ascii="宋体" w:hAnsi="宋体" w:eastAsia="宋体" w:cs="宋体"/>
                <w:color w:val="000000"/>
                <w:sz w:val="20"/>
                <w:szCs w:val="20"/>
              </w:rPr>
            </w:pPr>
            <w:r>
              <w:rPr>
                <w:rFonts w:hint="eastAsia" w:ascii="宋体" w:hAnsi="宋体" w:eastAsia="宋体" w:cs="宋体"/>
                <w:color w:val="000000"/>
                <w:sz w:val="20"/>
                <w:szCs w:val="20"/>
              </w:rPr>
              <w:t>提供证书复印件并加盖公章，不提供不得分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0"/>
                <w:szCs w:val="20"/>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0"/>
                <w:szCs w:val="20"/>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业绩案例</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分）</w:t>
            </w:r>
          </w:p>
        </w:tc>
        <w:tc>
          <w:tcPr>
            <w:tcW w:w="5376" w:type="dxa"/>
            <w:tcBorders>
              <w:top w:val="single" w:color="auto" w:sz="4" w:space="0"/>
              <w:left w:val="single" w:color="auto" w:sz="4" w:space="0"/>
              <w:bottom w:val="single" w:color="auto" w:sz="4" w:space="0"/>
              <w:right w:val="single" w:color="auto" w:sz="4" w:space="0"/>
            </w:tcBorders>
            <w:noWrap w:val="0"/>
            <w:vAlign w:val="center"/>
          </w:tcPr>
          <w:p>
            <w:pPr>
              <w:ind w:firstLine="28"/>
              <w:jc w:val="left"/>
              <w:rPr>
                <w:rFonts w:hint="eastAsia" w:ascii="宋体" w:hAnsi="宋体" w:eastAsia="宋体" w:cs="宋体"/>
                <w:color w:val="000000"/>
                <w:sz w:val="20"/>
                <w:szCs w:val="20"/>
              </w:rPr>
            </w:pPr>
            <w:r>
              <w:rPr>
                <w:rFonts w:hint="eastAsia" w:ascii="宋体" w:hAnsi="宋体" w:eastAsia="宋体" w:cs="宋体"/>
                <w:color w:val="000000"/>
                <w:sz w:val="20"/>
                <w:szCs w:val="20"/>
              </w:rPr>
              <w:t>所投产品自20</w:t>
            </w:r>
            <w:r>
              <w:rPr>
                <w:rFonts w:hint="eastAsia" w:ascii="宋体" w:hAnsi="宋体" w:eastAsia="宋体" w:cs="宋体"/>
                <w:color w:val="000000"/>
                <w:sz w:val="20"/>
                <w:szCs w:val="20"/>
                <w:lang w:val="en-US" w:eastAsia="zh-CN"/>
              </w:rPr>
              <w:t>20</w:t>
            </w:r>
            <w:r>
              <w:rPr>
                <w:rFonts w:hint="eastAsia" w:ascii="宋体" w:hAnsi="宋体" w:eastAsia="宋体" w:cs="宋体"/>
                <w:color w:val="000000"/>
                <w:sz w:val="20"/>
                <w:szCs w:val="20"/>
              </w:rPr>
              <w:t>年至今已完成的与本项目内容类似的业绩案例。每提供一项案例1分，最高得</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分。</w:t>
            </w:r>
          </w:p>
        </w:tc>
        <w:tc>
          <w:tcPr>
            <w:tcW w:w="1816" w:type="dxa"/>
            <w:vMerge w:val="restart"/>
            <w:tcBorders>
              <w:top w:val="nil"/>
              <w:left w:val="single" w:color="auto" w:sz="4" w:space="0"/>
              <w:bottom w:val="single" w:color="auto" w:sz="4" w:space="0"/>
              <w:right w:val="single" w:color="auto" w:sz="4" w:space="0"/>
            </w:tcBorders>
            <w:noWrap w:val="0"/>
            <w:vAlign w:val="center"/>
          </w:tcPr>
          <w:p>
            <w:pPr>
              <w:ind w:left="-38"/>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0"/>
                <w:szCs w:val="20"/>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0"/>
                <w:szCs w:val="20"/>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宋体" w:hAnsi="宋体" w:eastAsia="宋体" w:cs="宋体"/>
                <w:color w:val="auto"/>
                <w:sz w:val="20"/>
                <w:szCs w:val="20"/>
              </w:rPr>
            </w:pPr>
            <w:r>
              <w:rPr>
                <w:rFonts w:hint="eastAsia" w:ascii="宋体" w:hAnsi="宋体" w:eastAsia="宋体" w:cs="宋体"/>
                <w:color w:val="auto"/>
                <w:sz w:val="20"/>
                <w:szCs w:val="20"/>
              </w:rPr>
              <w:t>服务方案（</w:t>
            </w:r>
            <w:r>
              <w:rPr>
                <w:rFonts w:hint="eastAsia" w:ascii="宋体" w:hAnsi="宋体" w:cs="宋体"/>
                <w:color w:val="auto"/>
                <w:sz w:val="20"/>
                <w:szCs w:val="20"/>
                <w:lang w:val="en-US" w:eastAsia="zh-CN"/>
              </w:rPr>
              <w:t>5</w:t>
            </w:r>
            <w:r>
              <w:rPr>
                <w:rFonts w:hint="eastAsia" w:ascii="宋体" w:hAnsi="宋体" w:eastAsia="宋体" w:cs="宋体"/>
                <w:color w:val="auto"/>
                <w:sz w:val="20"/>
                <w:szCs w:val="20"/>
              </w:rPr>
              <w:t>分）</w:t>
            </w:r>
          </w:p>
        </w:tc>
        <w:tc>
          <w:tcPr>
            <w:tcW w:w="5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0"/>
                <w:szCs w:val="20"/>
              </w:rPr>
            </w:pPr>
            <w:r>
              <w:rPr>
                <w:rFonts w:hint="eastAsia" w:ascii="宋体" w:hAnsi="宋体" w:eastAsia="宋体" w:cs="宋体"/>
                <w:color w:val="auto"/>
                <w:sz w:val="20"/>
                <w:szCs w:val="20"/>
              </w:rPr>
              <w:t>投标供应商须针对本项目提供服务方案，服务方案包括但不限于：服务内容及服务目标、课程建设时间安排及进度保障方案、拟投入的设备设施方案等。服务方案完整、可实施性强、能够完全满足本项目需求的得</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分；</w:t>
            </w:r>
          </w:p>
          <w:p>
            <w:pPr>
              <w:ind w:firstLine="28"/>
              <w:jc w:val="left"/>
              <w:rPr>
                <w:rFonts w:hint="eastAsia" w:ascii="宋体" w:hAnsi="宋体" w:eastAsia="宋体" w:cs="宋体"/>
                <w:color w:val="auto"/>
                <w:sz w:val="20"/>
                <w:szCs w:val="20"/>
              </w:rPr>
            </w:pPr>
            <w:r>
              <w:rPr>
                <w:rFonts w:hint="eastAsia" w:ascii="宋体" w:hAnsi="宋体" w:eastAsia="宋体" w:cs="宋体"/>
                <w:color w:val="auto"/>
                <w:sz w:val="20"/>
                <w:szCs w:val="20"/>
              </w:rPr>
              <w:t>服务方案较完整、可实施性较强、能够基本满足本项目需求的得</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分；</w:t>
            </w:r>
          </w:p>
          <w:p>
            <w:pPr>
              <w:ind w:firstLine="28"/>
              <w:jc w:val="left"/>
              <w:rPr>
                <w:rFonts w:hint="eastAsia" w:ascii="宋体" w:hAnsi="宋体" w:eastAsia="宋体" w:cs="宋体"/>
                <w:color w:val="auto"/>
                <w:sz w:val="20"/>
                <w:szCs w:val="20"/>
              </w:rPr>
            </w:pPr>
            <w:r>
              <w:rPr>
                <w:rFonts w:hint="eastAsia" w:ascii="宋体" w:hAnsi="宋体" w:eastAsia="宋体" w:cs="宋体"/>
                <w:color w:val="auto"/>
                <w:sz w:val="20"/>
                <w:szCs w:val="20"/>
              </w:rPr>
              <w:t>服务方案不完整、可实施性不强、不能满足本项目需求的得1分。</w:t>
            </w:r>
          </w:p>
          <w:p>
            <w:pPr>
              <w:ind w:firstLine="28"/>
              <w:jc w:val="left"/>
              <w:rPr>
                <w:rFonts w:hint="eastAsia" w:ascii="宋体" w:hAnsi="宋体" w:eastAsia="宋体" w:cs="宋体"/>
                <w:color w:val="auto"/>
                <w:sz w:val="20"/>
                <w:szCs w:val="20"/>
              </w:rPr>
            </w:pPr>
            <w:r>
              <w:rPr>
                <w:rFonts w:hint="eastAsia" w:ascii="宋体" w:hAnsi="宋体" w:eastAsia="宋体" w:cs="宋体"/>
                <w:color w:val="auto"/>
                <w:sz w:val="20"/>
                <w:szCs w:val="20"/>
              </w:rPr>
              <w:t>不提供得0分</w:t>
            </w:r>
          </w:p>
        </w:tc>
        <w:tc>
          <w:tcPr>
            <w:tcW w:w="1816" w:type="dxa"/>
            <w:vMerge w:val="continue"/>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0"/>
                <w:szCs w:val="20"/>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0"/>
                <w:szCs w:val="20"/>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ind w:firstLine="28"/>
              <w:jc w:val="left"/>
              <w:rPr>
                <w:rFonts w:hint="eastAsia" w:ascii="宋体" w:hAnsi="宋体" w:eastAsia="宋体" w:cs="宋体"/>
                <w:color w:val="000000"/>
                <w:sz w:val="20"/>
                <w:szCs w:val="20"/>
              </w:rPr>
            </w:pPr>
            <w:r>
              <w:rPr>
                <w:rFonts w:hint="eastAsia" w:ascii="宋体" w:hAnsi="宋体" w:eastAsia="宋体" w:cs="宋体"/>
                <w:color w:val="000000"/>
                <w:sz w:val="20"/>
                <w:szCs w:val="20"/>
              </w:rPr>
              <w:t>售后服务能力（</w:t>
            </w:r>
            <w:r>
              <w:rPr>
                <w:rFonts w:hint="eastAsia" w:ascii="宋体" w:hAnsi="宋体" w:cs="宋体"/>
                <w:color w:val="000000"/>
                <w:sz w:val="20"/>
                <w:szCs w:val="20"/>
                <w:lang w:val="en-US" w:eastAsia="zh-CN"/>
              </w:rPr>
              <w:t>5</w:t>
            </w:r>
            <w:r>
              <w:rPr>
                <w:rFonts w:hint="eastAsia" w:ascii="宋体" w:hAnsi="宋体" w:eastAsia="宋体" w:cs="宋体"/>
                <w:color w:val="000000"/>
                <w:sz w:val="20"/>
                <w:szCs w:val="20"/>
              </w:rPr>
              <w:t>分）</w:t>
            </w:r>
          </w:p>
        </w:tc>
        <w:tc>
          <w:tcPr>
            <w:tcW w:w="53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rPr>
                <w:rFonts w:hint="eastAsia" w:ascii="宋体" w:hAnsi="宋体" w:eastAsia="宋体" w:cs="宋体"/>
                <w:sz w:val="20"/>
                <w:szCs w:val="20"/>
              </w:rPr>
            </w:pPr>
            <w:r>
              <w:rPr>
                <w:rFonts w:hint="eastAsia" w:ascii="宋体" w:hAnsi="宋体" w:eastAsia="宋体" w:cs="宋体"/>
                <w:sz w:val="20"/>
                <w:szCs w:val="20"/>
              </w:rPr>
              <w:t>1、在渝具有服务机构得</w:t>
            </w:r>
            <w:r>
              <w:rPr>
                <w:rFonts w:hint="eastAsia" w:ascii="宋体" w:hAnsi="宋体" w:eastAsia="宋体" w:cs="宋体"/>
                <w:sz w:val="20"/>
                <w:szCs w:val="20"/>
                <w:lang w:val="en-US" w:eastAsia="zh-CN"/>
              </w:rPr>
              <w:t>2</w:t>
            </w:r>
            <w:r>
              <w:rPr>
                <w:rFonts w:hint="eastAsia" w:ascii="宋体" w:hAnsi="宋体" w:eastAsia="宋体" w:cs="宋体"/>
                <w:sz w:val="20"/>
                <w:szCs w:val="20"/>
              </w:rPr>
              <w:t>分。（提供售后服务机构营业执照复印件并加盖公章。）</w:t>
            </w:r>
          </w:p>
          <w:p>
            <w:pPr>
              <w:rPr>
                <w:rFonts w:hint="eastAsia" w:ascii="宋体" w:hAnsi="宋体" w:eastAsia="宋体" w:cs="宋体"/>
                <w:sz w:val="20"/>
                <w:szCs w:val="20"/>
              </w:rPr>
            </w:pPr>
            <w:r>
              <w:rPr>
                <w:rFonts w:hint="eastAsia" w:ascii="宋体" w:hAnsi="宋体" w:cs="宋体"/>
                <w:sz w:val="20"/>
                <w:szCs w:val="20"/>
                <w:lang w:val="en-US" w:eastAsia="zh-CN"/>
              </w:rPr>
              <w:t>2</w:t>
            </w:r>
            <w:r>
              <w:rPr>
                <w:rFonts w:hint="eastAsia" w:ascii="宋体" w:hAnsi="宋体" w:eastAsia="宋体" w:cs="宋体"/>
                <w:sz w:val="20"/>
                <w:szCs w:val="20"/>
              </w:rPr>
              <w:t>、服务机构及人员配置：</w:t>
            </w:r>
          </w:p>
          <w:p>
            <w:pPr>
              <w:ind w:firstLine="28"/>
              <w:jc w:val="left"/>
              <w:rPr>
                <w:rFonts w:hint="eastAsia" w:ascii="宋体" w:hAnsi="宋体" w:eastAsia="宋体" w:cs="宋体"/>
                <w:color w:val="000000"/>
                <w:sz w:val="20"/>
                <w:szCs w:val="20"/>
              </w:rPr>
            </w:pPr>
            <w:r>
              <w:rPr>
                <w:rFonts w:hint="eastAsia" w:ascii="宋体" w:hAnsi="宋体" w:eastAsia="宋体" w:cs="宋体"/>
                <w:sz w:val="20"/>
                <w:szCs w:val="20"/>
              </w:rPr>
              <w:t>项目服务团队中，具有教育学、现代教育技术学、广播电视编导、编导、动画或动漫设计创作等相关专业人员，提供15人及以上得</w:t>
            </w:r>
            <w:r>
              <w:rPr>
                <w:rFonts w:hint="eastAsia" w:ascii="宋体" w:hAnsi="宋体" w:cs="宋体"/>
                <w:sz w:val="20"/>
                <w:szCs w:val="20"/>
                <w:lang w:val="en-US" w:eastAsia="zh-CN"/>
              </w:rPr>
              <w:t>3</w:t>
            </w:r>
            <w:r>
              <w:rPr>
                <w:rFonts w:hint="eastAsia" w:ascii="宋体" w:hAnsi="宋体" w:eastAsia="宋体" w:cs="宋体"/>
                <w:sz w:val="20"/>
                <w:szCs w:val="20"/>
              </w:rPr>
              <w:t>分，10-14人得</w:t>
            </w:r>
            <w:r>
              <w:rPr>
                <w:rFonts w:hint="eastAsia" w:ascii="宋体" w:hAnsi="宋体" w:cs="宋体"/>
                <w:sz w:val="20"/>
                <w:szCs w:val="20"/>
                <w:lang w:val="en-US" w:eastAsia="zh-CN"/>
              </w:rPr>
              <w:t>2</w:t>
            </w:r>
            <w:r>
              <w:rPr>
                <w:rFonts w:hint="eastAsia" w:ascii="宋体" w:hAnsi="宋体" w:eastAsia="宋体" w:cs="宋体"/>
                <w:sz w:val="20"/>
                <w:szCs w:val="20"/>
              </w:rPr>
              <w:t>分，其他得1分，未提供或提供的材料不满足要求的，不得分。（提供人员名单、证书复印件及售后服务单位为其缴纳社保的复印件）。</w:t>
            </w:r>
          </w:p>
        </w:tc>
        <w:tc>
          <w:tcPr>
            <w:tcW w:w="18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0"/>
                <w:szCs w:val="20"/>
              </w:rPr>
            </w:pPr>
          </w:p>
        </w:tc>
      </w:tr>
    </w:tbl>
    <w:p>
      <w:pPr>
        <w:numPr>
          <w:ilvl w:val="0"/>
          <w:numId w:val="0"/>
        </w:numPr>
        <w:adjustRightInd w:val="0"/>
        <w:snapToGrid w:val="0"/>
        <w:spacing w:line="360" w:lineRule="auto"/>
        <w:rPr>
          <w:rFonts w:hint="eastAsia" w:ascii="宋体" w:hAnsi="宋体" w:eastAsia="宋体" w:cs="宋体"/>
          <w:color w:val="auto"/>
          <w:sz w:val="24"/>
          <w:szCs w:val="24"/>
          <w:highlight w:val="none"/>
        </w:rPr>
      </w:pPr>
    </w:p>
    <w:p>
      <w:pPr>
        <w:numPr>
          <w:ilvl w:val="0"/>
          <w:numId w:val="0"/>
        </w:num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现场合理的时间内提供书面说明，必要时提交相关证明材料；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委员会应当将其作为无效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p>
    <w:p>
      <w:pPr>
        <w:numPr>
          <w:ilvl w:val="0"/>
          <w:numId w:val="0"/>
        </w:numPr>
        <w:adjustRightInd w:val="0"/>
        <w:snapToGrid w:val="0"/>
        <w:spacing w:line="360" w:lineRule="auto"/>
        <w:rPr>
          <w:rFonts w:hint="eastAsia" w:ascii="宋体" w:hAnsi="宋体" w:eastAsia="宋体" w:cs="宋体"/>
          <w:b/>
          <w:color w:val="auto"/>
          <w:sz w:val="24"/>
          <w:szCs w:val="24"/>
          <w:highlight w:val="none"/>
        </w:rPr>
      </w:pPr>
    </w:p>
    <w:p>
      <w:pPr>
        <w:pStyle w:val="4"/>
        <w:spacing w:line="400" w:lineRule="exact"/>
        <w:ind w:firstLine="482" w:firstLineChars="200"/>
        <w:jc w:val="left"/>
        <w:rPr>
          <w:rFonts w:hint="eastAsia" w:ascii="宋体" w:hAnsi="宋体" w:eastAsia="宋体" w:cs="宋体"/>
          <w:color w:val="auto"/>
          <w:sz w:val="24"/>
          <w:szCs w:val="24"/>
          <w:highlight w:val="none"/>
        </w:rPr>
      </w:pPr>
      <w:bookmarkStart w:id="21" w:name="_Toc465084040"/>
      <w:bookmarkStart w:id="22" w:name="_Toc156196446"/>
      <w:bookmarkStart w:id="23" w:name="_Toc128229721"/>
      <w:bookmarkStart w:id="24" w:name="_Toc237057789"/>
      <w:bookmarkStart w:id="25" w:name="_Toc128229278"/>
      <w:bookmarkStart w:id="26" w:name="_Toc128014287"/>
      <w:r>
        <w:rPr>
          <w:rFonts w:hint="eastAsia" w:ascii="宋体" w:hAnsi="宋体" w:eastAsia="宋体" w:cs="宋体"/>
          <w:color w:val="auto"/>
          <w:sz w:val="24"/>
          <w:szCs w:val="24"/>
          <w:highlight w:val="none"/>
        </w:rPr>
        <w:t>三、无效投标条款</w:t>
      </w:r>
      <w:bookmarkEnd w:id="21"/>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供应商发生以下条款情况之一者，视为无效响应，其响应文件将被拒绝：</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w:t>
      </w:r>
      <w:r>
        <w:rPr>
          <w:rFonts w:hint="eastAsia" w:ascii="宋体" w:hAnsi="宋体" w:cs="宋体"/>
          <w:color w:val="auto"/>
          <w:sz w:val="24"/>
          <w:szCs w:val="24"/>
          <w:highlight w:val="none"/>
          <w:lang w:eastAsia="zh-CN"/>
        </w:rPr>
        <w:t>项目磋商文件</w:t>
      </w:r>
      <w:r>
        <w:rPr>
          <w:rFonts w:hint="eastAsia" w:ascii="宋体" w:hAnsi="宋体" w:eastAsia="宋体" w:cs="宋体"/>
          <w:color w:val="auto"/>
          <w:sz w:val="24"/>
          <w:szCs w:val="24"/>
          <w:highlight w:val="none"/>
        </w:rPr>
        <w:t>要求签署或盖章；</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（四）供应商的最后报价超过最高限价的；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（六）单位负责人为同一人或者存在直接控股、管理关系的不同供应商，参加同一合同项下的采购活动的；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（十）法律、法规和竞争性磋商文件规定的其他无效情形。</w:t>
      </w:r>
    </w:p>
    <w:p>
      <w:pPr>
        <w:snapToGrid w:val="0"/>
        <w:spacing w:line="400" w:lineRule="exact"/>
        <w:ind w:firstLine="480" w:firstLineChars="200"/>
        <w:rPr>
          <w:rFonts w:hint="eastAsia" w:ascii="宋体" w:hAnsi="宋体" w:eastAsia="宋体" w:cs="宋体"/>
          <w:color w:val="auto"/>
          <w:sz w:val="24"/>
          <w:szCs w:val="24"/>
          <w:highlight w:val="none"/>
        </w:rPr>
      </w:pPr>
    </w:p>
    <w:p>
      <w:pPr>
        <w:pStyle w:val="4"/>
        <w:spacing w:line="400" w:lineRule="exact"/>
        <w:ind w:firstLine="482" w:firstLineChars="200"/>
        <w:jc w:val="both"/>
        <w:rPr>
          <w:rFonts w:hint="eastAsia" w:ascii="宋体" w:hAnsi="宋体" w:eastAsia="宋体" w:cs="宋体"/>
          <w:color w:val="auto"/>
          <w:sz w:val="24"/>
          <w:szCs w:val="24"/>
          <w:highlight w:val="none"/>
        </w:rPr>
      </w:pPr>
      <w:bookmarkStart w:id="27" w:name="_Toc465084041"/>
      <w:r>
        <w:rPr>
          <w:rFonts w:hint="eastAsia" w:ascii="宋体" w:hAnsi="宋体" w:eastAsia="宋体" w:cs="宋体"/>
          <w:color w:val="auto"/>
          <w:sz w:val="24"/>
          <w:szCs w:val="24"/>
          <w:highlight w:val="none"/>
        </w:rPr>
        <w:t>四、</w:t>
      </w:r>
      <w:bookmarkEnd w:id="27"/>
      <w:r>
        <w:rPr>
          <w:rFonts w:hint="eastAsia" w:ascii="宋体" w:hAnsi="宋体" w:eastAsia="宋体" w:cs="宋体"/>
          <w:b/>
          <w:color w:val="auto"/>
          <w:sz w:val="24"/>
          <w:szCs w:val="24"/>
          <w:highlight w:val="none"/>
        </w:rPr>
        <w:t>采购终止</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出现下列情形之一的，采购人应当终止竞争性磋商采购活动，发布项目终止公告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重新开展采购活动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采购任务取消情形</w:t>
      </w:r>
      <w:r>
        <w:rPr>
          <w:rFonts w:hint="eastAsia" w:ascii="宋体" w:hAnsi="宋体" w:eastAsia="宋体" w:cs="宋体"/>
          <w:color w:val="auto"/>
          <w:sz w:val="24"/>
          <w:szCs w:val="24"/>
          <w:highlight w:val="none"/>
          <w:lang w:eastAsia="zh-CN"/>
        </w:rPr>
        <w:t>除</w:t>
      </w:r>
      <w:r>
        <w:rPr>
          <w:rFonts w:hint="eastAsia" w:ascii="宋体" w:hAnsi="宋体" w:eastAsia="宋体" w:cs="宋体"/>
          <w:color w:val="auto"/>
          <w:sz w:val="24"/>
          <w:szCs w:val="24"/>
          <w:highlight w:val="none"/>
        </w:rPr>
        <w:t>外：</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（四）因重大变故，采购任务取消的。</w:t>
      </w:r>
    </w:p>
    <w:p>
      <w:pPr>
        <w:pStyle w:val="24"/>
        <w:rPr>
          <w:rFonts w:hint="eastAsia"/>
          <w:color w:val="auto"/>
          <w:highlight w:val="none"/>
        </w:rPr>
      </w:pPr>
    </w:p>
    <w:p>
      <w:pPr>
        <w:rPr>
          <w:rFonts w:hint="eastAsia"/>
          <w:color w:val="auto"/>
          <w:highlight w:val="none"/>
        </w:rPr>
      </w:pPr>
    </w:p>
    <w:p>
      <w:pPr>
        <w:pStyle w:val="2"/>
        <w:rPr>
          <w:rFonts w:hint="eastAsia"/>
          <w:color w:val="auto"/>
          <w:highlight w:val="none"/>
        </w:rPr>
      </w:pPr>
    </w:p>
    <w:p>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cs="宋体"/>
          <w:b/>
          <w:color w:val="auto"/>
          <w:sz w:val="28"/>
          <w:szCs w:val="28"/>
          <w:highlight w:val="none"/>
          <w:lang w:eastAsia="zh-CN"/>
        </w:rPr>
        <w:t>五</w:t>
      </w:r>
      <w:r>
        <w:rPr>
          <w:rFonts w:hint="eastAsia" w:ascii="宋体" w:hAnsi="宋体" w:eastAsia="宋体" w:cs="宋体"/>
          <w:b/>
          <w:color w:val="auto"/>
          <w:sz w:val="28"/>
          <w:szCs w:val="28"/>
          <w:highlight w:val="none"/>
        </w:rPr>
        <w:t>篇、响应文件要求</w:t>
      </w:r>
    </w:p>
    <w:p>
      <w:pPr>
        <w:adjustRightInd w:val="0"/>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投标文件由下列材料组成，请按顺序将投标文件装订成册。</w:t>
      </w:r>
      <w:r>
        <w:rPr>
          <w:rFonts w:hint="eastAsia" w:ascii="宋体" w:hAnsi="宋体" w:cs="宋体"/>
          <w:b/>
          <w:bCs/>
          <w:color w:val="auto"/>
          <w:sz w:val="24"/>
          <w:highlight w:val="none"/>
          <w:lang w:eastAsia="zh-CN"/>
        </w:rPr>
        <w:t>（应编制目录页码）</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封面</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（二）投标书</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）法定代表人身份证明</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）法定代表人授权委托书</w:t>
      </w:r>
      <w:r>
        <w:rPr>
          <w:rFonts w:hint="eastAsia" w:ascii="宋体" w:hAnsi="宋体" w:cs="宋体"/>
          <w:color w:val="auto"/>
          <w:sz w:val="24"/>
          <w:highlight w:val="none"/>
          <w:lang w:eastAsia="zh-CN"/>
        </w:rPr>
        <w:t>（即</w:t>
      </w:r>
      <w:r>
        <w:rPr>
          <w:rFonts w:hint="eastAsia" w:ascii="宋体" w:hAnsi="宋体" w:eastAsia="宋体" w:cs="宋体"/>
          <w:color w:val="auto"/>
          <w:sz w:val="24"/>
          <w:highlight w:val="none"/>
        </w:rPr>
        <w:t>被委托人身份证证明</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p>
    <w:p>
      <w:pPr>
        <w:adjustRightInd w:val="0"/>
        <w:snapToGrid w:val="0"/>
        <w:spacing w:line="360" w:lineRule="auto"/>
        <w:ind w:firstLine="420" w:firstLineChars="200"/>
        <w:rPr>
          <w:rFonts w:hint="eastAsia" w:ascii="宋体" w:hAnsi="宋体" w:cs="宋体"/>
          <w:color w:val="auto"/>
          <w:sz w:val="24"/>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五）</w:t>
      </w:r>
      <w:r>
        <w:rPr>
          <w:rFonts w:hint="eastAsia" w:ascii="宋体" w:hAnsi="宋体" w:cs="宋体"/>
          <w:color w:val="auto"/>
          <w:sz w:val="24"/>
          <w:highlight w:val="none"/>
          <w:lang w:val="en-US" w:eastAsia="zh-CN"/>
        </w:rPr>
        <w:t>报价函</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（六）</w:t>
      </w:r>
      <w:r>
        <w:rPr>
          <w:rFonts w:hint="eastAsia" w:ascii="宋体" w:hAnsi="宋体" w:cs="宋体"/>
          <w:color w:val="auto"/>
          <w:sz w:val="24"/>
          <w:highlight w:val="none"/>
          <w:lang w:eastAsia="zh-CN"/>
        </w:rPr>
        <w:t>项目分项报价</w:t>
      </w:r>
      <w:r>
        <w:rPr>
          <w:rFonts w:hint="eastAsia" w:ascii="宋体" w:hAnsi="宋体" w:eastAsia="宋体" w:cs="宋体"/>
          <w:color w:val="auto"/>
          <w:sz w:val="24"/>
          <w:highlight w:val="none"/>
        </w:rPr>
        <w:t>清单</w:t>
      </w:r>
      <w:r>
        <w:rPr>
          <w:rFonts w:hint="eastAsia" w:ascii="宋体" w:hAnsi="宋体" w:cs="宋体"/>
          <w:color w:val="auto"/>
          <w:sz w:val="24"/>
          <w:highlight w:val="none"/>
          <w:lang w:eastAsia="zh-CN"/>
        </w:rPr>
        <w:t>（自拟）</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（七）项目响应偏离表</w:t>
      </w:r>
      <w:r>
        <w:rPr>
          <w:rFonts w:hint="eastAsia" w:ascii="宋体" w:hAnsi="宋体" w:cs="宋体"/>
          <w:color w:val="auto"/>
          <w:sz w:val="24"/>
          <w:highlight w:val="none"/>
          <w:lang w:eastAsia="zh-CN"/>
        </w:rPr>
        <w:t>（针对第二篇、第三篇）</w:t>
      </w:r>
    </w:p>
    <w:p>
      <w:pPr>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八</w:t>
      </w:r>
      <w:r>
        <w:rPr>
          <w:rFonts w:hint="eastAsia" w:ascii="宋体" w:hAnsi="宋体" w:eastAsia="宋体" w:cs="宋体"/>
          <w:color w:val="auto"/>
          <w:sz w:val="24"/>
          <w:highlight w:val="none"/>
          <w:lang w:eastAsia="zh-CN"/>
        </w:rPr>
        <w:t>）项目响应</w:t>
      </w:r>
      <w:r>
        <w:rPr>
          <w:rFonts w:hint="eastAsia" w:ascii="宋体" w:hAnsi="宋体" w:cs="宋体"/>
          <w:color w:val="auto"/>
          <w:sz w:val="24"/>
          <w:highlight w:val="none"/>
          <w:lang w:eastAsia="zh-CN"/>
        </w:rPr>
        <w:t>材料，结合项目评审标准，</w:t>
      </w:r>
      <w:r>
        <w:rPr>
          <w:rFonts w:hint="eastAsia" w:ascii="宋体" w:hAnsi="宋体" w:cs="宋体"/>
          <w:color w:val="auto"/>
          <w:sz w:val="24"/>
          <w:highlight w:val="none"/>
          <w:lang w:val="en-US" w:eastAsia="zh-CN"/>
        </w:rPr>
        <w:t xml:space="preserve"> 准备</w:t>
      </w:r>
      <w:r>
        <w:rPr>
          <w:rFonts w:hint="eastAsia" w:ascii="宋体" w:hAnsi="宋体" w:cs="宋体"/>
          <w:color w:val="auto"/>
          <w:sz w:val="24"/>
          <w:highlight w:val="none"/>
          <w:lang w:eastAsia="zh-CN"/>
        </w:rPr>
        <w:t>相关支撑说明材料，投标单位自拟</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九</w:t>
      </w:r>
      <w:r>
        <w:rPr>
          <w:rFonts w:hint="eastAsia" w:ascii="宋体" w:hAnsi="宋体" w:eastAsia="宋体" w:cs="宋体"/>
          <w:color w:val="auto"/>
          <w:sz w:val="24"/>
          <w:highlight w:val="none"/>
        </w:rPr>
        <w:t>）资质：</w:t>
      </w:r>
    </w:p>
    <w:p>
      <w:pPr>
        <w:adjustRightInd w:val="0"/>
        <w:snapToGrid w:val="0"/>
        <w:spacing w:line="360" w:lineRule="auto"/>
        <w:ind w:left="539" w:leftChars="228" w:hanging="60" w:hangingChars="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投标公司资质</w:t>
      </w:r>
    </w:p>
    <w:p>
      <w:pPr>
        <w:adjustRightInd w:val="0"/>
        <w:snapToGrid w:val="0"/>
        <w:spacing w:line="360" w:lineRule="auto"/>
        <w:ind w:left="539" w:leftChars="228" w:hanging="60" w:hangingChars="2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一般资格证明材料</w:t>
      </w:r>
    </w:p>
    <w:p>
      <w:pPr>
        <w:adjustRightInd w:val="0"/>
        <w:snapToGrid w:val="0"/>
        <w:spacing w:line="360" w:lineRule="auto"/>
        <w:ind w:left="540"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a.营业执照副本（有效证件）</w:t>
      </w:r>
    </w:p>
    <w:p>
      <w:pPr>
        <w:adjustRightInd w:val="0"/>
        <w:snapToGrid w:val="0"/>
        <w:spacing w:line="360" w:lineRule="auto"/>
        <w:ind w:left="540" w:leftChars="257"/>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b</w:t>
      </w:r>
      <w:r>
        <w:rPr>
          <w:rFonts w:hint="eastAsia" w:ascii="宋体" w:hAnsi="宋体" w:eastAsia="宋体" w:cs="宋体"/>
          <w:color w:val="auto"/>
          <w:sz w:val="24"/>
          <w:highlight w:val="none"/>
        </w:rPr>
        <w:t>.财务状况证明，可提供近一年单位审计报告</w:t>
      </w:r>
    </w:p>
    <w:p>
      <w:pPr>
        <w:adjustRightInd w:val="0"/>
        <w:snapToGrid w:val="0"/>
        <w:spacing w:line="360" w:lineRule="auto"/>
        <w:ind w:left="540" w:leftChars="257"/>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c</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书面声明附两网站查询截图。</w:t>
      </w:r>
    </w:p>
    <w:p>
      <w:pPr>
        <w:adjustRightInd w:val="0"/>
        <w:snapToGrid w:val="0"/>
        <w:spacing w:line="360" w:lineRule="auto"/>
        <w:ind w:left="540"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特定资格证明材料：</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a.</w:t>
      </w:r>
      <w:r>
        <w:rPr>
          <w:rFonts w:hint="eastAsia" w:ascii="宋体" w:hAnsi="宋体" w:cs="宋体"/>
          <w:color w:val="auto"/>
          <w:sz w:val="24"/>
          <w:highlight w:val="none"/>
          <w:lang w:eastAsia="zh-CN"/>
        </w:rPr>
        <w:t>按照项目特定资格要求，提供证明材料</w:t>
      </w:r>
      <w:r>
        <w:rPr>
          <w:rFonts w:hint="eastAsia" w:ascii="宋体" w:hAnsi="宋体" w:eastAsia="宋体" w:cs="宋体"/>
          <w:color w:val="auto"/>
          <w:sz w:val="24"/>
          <w:highlight w:val="none"/>
          <w:lang w:val="en-US" w:eastAsia="zh-CN"/>
        </w:rPr>
        <w:t>。</w:t>
      </w:r>
    </w:p>
    <w:p>
      <w:pPr>
        <w:adjustRightInd w:val="0"/>
        <w:snapToGrid w:val="0"/>
        <w:spacing w:line="360" w:lineRule="auto"/>
        <w:ind w:left="540" w:leftChars="257"/>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（3）拟投入项目成员</w:t>
      </w:r>
      <w:r>
        <w:rPr>
          <w:rFonts w:hint="eastAsia" w:ascii="宋体" w:hAnsi="宋体" w:cs="宋体"/>
          <w:color w:val="auto"/>
          <w:sz w:val="24"/>
          <w:highlight w:val="none"/>
          <w:lang w:val="en-US" w:eastAsia="zh-CN"/>
        </w:rPr>
        <w:t>及资质</w:t>
      </w:r>
      <w:r>
        <w:rPr>
          <w:rFonts w:hint="eastAsia" w:ascii="宋体" w:hAnsi="宋体" w:eastAsia="宋体" w:cs="宋体"/>
          <w:color w:val="auto"/>
          <w:sz w:val="24"/>
          <w:highlight w:val="none"/>
          <w:lang w:val="en-US" w:eastAsia="zh-CN"/>
        </w:rPr>
        <w:t>证明材料</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a.拟投入项目成员清单、简历</w:t>
      </w:r>
    </w:p>
    <w:p>
      <w:pPr>
        <w:adjustRightInd w:val="0"/>
        <w:snapToGrid w:val="0"/>
        <w:spacing w:line="360" w:lineRule="auto"/>
        <w:ind w:firstLine="480" w:firstLineChars="200"/>
        <w:rPr>
          <w:rFonts w:hint="default" w:ascii="宋体" w:hAnsi="宋体" w:eastAsia="宋体" w:cs="宋体"/>
          <w:strike/>
          <w:dstrike w:val="0"/>
          <w:color w:val="auto"/>
          <w:sz w:val="24"/>
          <w:highlight w:val="none"/>
          <w:lang w:val="en-US" w:eastAsia="zh-CN"/>
        </w:rPr>
      </w:pPr>
      <w:r>
        <w:rPr>
          <w:rFonts w:hint="eastAsia" w:ascii="宋体" w:hAnsi="宋体" w:eastAsia="宋体" w:cs="宋体"/>
          <w:color w:val="auto"/>
          <w:sz w:val="24"/>
          <w:highlight w:val="none"/>
          <w:lang w:val="en-US" w:eastAsia="zh-CN"/>
        </w:rPr>
        <w:t>b.</w:t>
      </w:r>
      <w:r>
        <w:rPr>
          <w:rFonts w:hint="eastAsia" w:ascii="宋体" w:hAnsi="宋体" w:cs="宋体"/>
          <w:color w:val="auto"/>
          <w:sz w:val="24"/>
          <w:highlight w:val="none"/>
          <w:lang w:val="en-US" w:eastAsia="zh-CN"/>
        </w:rPr>
        <w:t>按照评审标准中要求，提供证明材料。</w:t>
      </w:r>
    </w:p>
    <w:p>
      <w:pPr>
        <w:rPr>
          <w:rFonts w:hint="eastAsia"/>
          <w:color w:val="auto"/>
          <w:highlight w:val="none"/>
          <w:lang w:val="en-US" w:eastAsia="zh-CN"/>
        </w:rPr>
      </w:pPr>
    </w:p>
    <w:p>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投标文件的格式及其签署</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）投标人的投标文件应清晰的标有“正本”、“副本”，一旦正本与副本不符，以正本为准。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所有投标文件统一用A4纸</w:t>
      </w:r>
      <w:r>
        <w:rPr>
          <w:rFonts w:hint="eastAsia" w:ascii="宋体" w:hAnsi="宋体" w:cs="宋体"/>
          <w:color w:val="auto"/>
          <w:sz w:val="24"/>
          <w:highlight w:val="none"/>
          <w:lang w:eastAsia="zh-CN"/>
        </w:rPr>
        <w:t>，并装订成册</w:t>
      </w:r>
      <w:r>
        <w:rPr>
          <w:rFonts w:hint="eastAsia" w:ascii="宋体" w:hAnsi="宋体" w:eastAsia="宋体" w:cs="宋体"/>
          <w:color w:val="auto"/>
          <w:sz w:val="24"/>
          <w:highlight w:val="none"/>
        </w:rPr>
        <w:t>。填写的内容必须打印或使用不褪色的蓝、黑墨水笔书写，字迹应清晰易于辨认。</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）投标文件的封面及投标书均</w:t>
      </w:r>
      <w:r>
        <w:rPr>
          <w:rFonts w:hint="eastAsia" w:ascii="宋体" w:hAnsi="宋体" w:cs="宋体"/>
          <w:color w:val="auto"/>
          <w:sz w:val="24"/>
          <w:highlight w:val="none"/>
          <w:lang w:eastAsia="zh-CN"/>
        </w:rPr>
        <w:t>须每页</w:t>
      </w:r>
      <w:r>
        <w:rPr>
          <w:rFonts w:hint="eastAsia" w:ascii="宋体" w:hAnsi="宋体" w:eastAsia="宋体" w:cs="宋体"/>
          <w:color w:val="auto"/>
          <w:sz w:val="24"/>
          <w:highlight w:val="none"/>
        </w:rPr>
        <w:t>加盖投标人公章，</w:t>
      </w:r>
      <w:r>
        <w:rPr>
          <w:rFonts w:hint="eastAsia" w:ascii="宋体" w:hAnsi="宋体" w:cs="宋体"/>
          <w:color w:val="auto"/>
          <w:sz w:val="24"/>
          <w:highlight w:val="none"/>
          <w:lang w:eastAsia="zh-CN"/>
        </w:rPr>
        <w:t>签字处须</w:t>
      </w:r>
      <w:r>
        <w:rPr>
          <w:rFonts w:hint="eastAsia" w:ascii="宋体" w:hAnsi="宋体" w:eastAsia="宋体" w:cs="宋体"/>
          <w:color w:val="auto"/>
          <w:sz w:val="24"/>
          <w:highlight w:val="none"/>
        </w:rPr>
        <w:t>经法定代表人或其委托代理人签字</w:t>
      </w:r>
      <w:r>
        <w:rPr>
          <w:rFonts w:hint="eastAsia" w:ascii="宋体" w:hAnsi="宋体" w:cs="宋体"/>
          <w:color w:val="auto"/>
          <w:sz w:val="24"/>
          <w:highlight w:val="none"/>
          <w:lang w:eastAsia="zh-CN"/>
        </w:rPr>
        <w:t>或用印</w:t>
      </w:r>
      <w:r>
        <w:rPr>
          <w:rFonts w:hint="eastAsia" w:ascii="宋体" w:hAnsi="宋体" w:eastAsia="宋体" w:cs="宋体"/>
          <w:color w:val="auto"/>
          <w:sz w:val="24"/>
          <w:highlight w:val="none"/>
        </w:rPr>
        <w:t>，否则，其投标文件无效。</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）投标文件上不应有行间插字、涂改和覆盖，除非是对投标人写错的地方做必要的修改，此时，签署投标文件的人应在修改处小签。</w:t>
      </w:r>
    </w:p>
    <w:p>
      <w:pPr>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三、投标文件的密封</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投标文件应装袋密封，在封口上加盖企业公章。并标明邀标项目名称、投标人名称</w:t>
      </w:r>
      <w:r>
        <w:rPr>
          <w:rFonts w:hint="eastAsia" w:ascii="宋体" w:hAnsi="宋体" w:cs="宋体"/>
          <w:color w:val="auto"/>
          <w:sz w:val="24"/>
          <w:highlight w:val="none"/>
          <w:lang w:eastAsia="zh-CN"/>
        </w:rPr>
        <w:t>等信息</w:t>
      </w:r>
      <w:r>
        <w:rPr>
          <w:rFonts w:hint="eastAsia" w:ascii="宋体" w:hAnsi="宋体" w:eastAsia="宋体" w:cs="宋体"/>
          <w:color w:val="auto"/>
          <w:sz w:val="24"/>
          <w:highlight w:val="none"/>
        </w:rPr>
        <w:t>。</w:t>
      </w:r>
    </w:p>
    <w:p>
      <w:pPr>
        <w:adjustRightInd w:val="0"/>
        <w:snapToGrid w:val="0"/>
        <w:spacing w:line="360" w:lineRule="auto"/>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）投标文件份数：正本一份、副本三份</w:t>
      </w:r>
      <w:r>
        <w:rPr>
          <w:rFonts w:hint="eastAsia" w:ascii="宋体" w:hAnsi="宋体" w:eastAsia="宋体" w:cs="宋体"/>
          <w:color w:val="auto"/>
          <w:sz w:val="24"/>
          <w:highlight w:val="none"/>
          <w:lang w:eastAsia="zh-CN"/>
        </w:rPr>
        <w:t>。</w:t>
      </w:r>
    </w:p>
    <w:p>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如果投标文件没有按规定密封，该投标文件将被拒绝接收，并原样退还给投标人。</w:t>
      </w:r>
    </w:p>
    <w:p>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投标人无论是否中标，投标人递交的投标文件均不退还。</w:t>
      </w:r>
    </w:p>
    <w:p>
      <w:pPr>
        <w:pStyle w:val="18"/>
        <w:ind w:left="0" w:leftChars="0" w:firstLine="0" w:firstLineChars="0"/>
        <w:rPr>
          <w:rFonts w:hint="eastAsia" w:ascii="宋体" w:hAnsi="宋体" w:eastAsia="宋体" w:cs="宋体"/>
          <w:b/>
          <w:color w:val="auto"/>
          <w:szCs w:val="21"/>
          <w:highlight w:val="none"/>
        </w:rPr>
      </w:pPr>
    </w:p>
    <w:p>
      <w:pPr>
        <w:autoSpaceDE w:val="0"/>
        <w:autoSpaceDN w:val="0"/>
        <w:adjustRightInd w:val="0"/>
        <w:snapToGrid w:val="0"/>
        <w:spacing w:line="360" w:lineRule="auto"/>
        <w:ind w:firstLine="281" w:firstLine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cs="宋体"/>
          <w:b/>
          <w:color w:val="auto"/>
          <w:sz w:val="28"/>
          <w:szCs w:val="28"/>
          <w:highlight w:val="none"/>
          <w:lang w:eastAsia="zh-CN"/>
        </w:rPr>
        <w:t>六</w:t>
      </w:r>
      <w:r>
        <w:rPr>
          <w:rFonts w:hint="eastAsia" w:ascii="宋体" w:hAnsi="宋体" w:eastAsia="宋体" w:cs="宋体"/>
          <w:b/>
          <w:color w:val="auto"/>
          <w:sz w:val="28"/>
          <w:szCs w:val="28"/>
          <w:highlight w:val="none"/>
        </w:rPr>
        <w:t>篇、响应文件格式</w:t>
      </w:r>
      <w:bookmarkStart w:id="28" w:name="_Toc31912"/>
      <w:bookmarkStart w:id="29" w:name="_Toc313008356"/>
      <w:bookmarkStart w:id="30" w:name="_Toc283382454"/>
      <w:bookmarkStart w:id="31" w:name="_Toc342913419"/>
      <w:bookmarkStart w:id="32" w:name="_Toc313888360"/>
      <w:bookmarkStart w:id="33" w:name="_Toc12789073"/>
    </w:p>
    <w:bookmarkEnd w:id="22"/>
    <w:bookmarkEnd w:id="23"/>
    <w:bookmarkEnd w:id="24"/>
    <w:bookmarkEnd w:id="25"/>
    <w:bookmarkEnd w:id="26"/>
    <w:bookmarkEnd w:id="28"/>
    <w:bookmarkEnd w:id="29"/>
    <w:bookmarkEnd w:id="30"/>
    <w:bookmarkEnd w:id="31"/>
    <w:bookmarkEnd w:id="32"/>
    <w:bookmarkEnd w:id="33"/>
    <w:p>
      <w:pPr>
        <w:numPr>
          <w:ilvl w:val="0"/>
          <w:numId w:val="2"/>
        </w:numPr>
        <w:autoSpaceDE w:val="0"/>
        <w:autoSpaceDN w:val="0"/>
        <w:adjustRightInd w:val="0"/>
        <w:snapToGrid w:val="0"/>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项目投标书（封面）</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投标项目名称：                           </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项目编号：                      </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投标单位：（盖章）</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法定代表人：（签章）</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地址：</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                              邮编：</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授权代表人： （盖章）</w:t>
      </w:r>
    </w:p>
    <w:p>
      <w:pPr>
        <w:autoSpaceDE w:val="0"/>
        <w:autoSpaceDN w:val="0"/>
        <w:adjustRightInd w:val="0"/>
        <w:snapToGrid w:val="0"/>
        <w:spacing w:line="360" w:lineRule="auto"/>
        <w:ind w:right="480" w:firstLine="5640" w:firstLineChars="2350"/>
        <w:jc w:val="right"/>
        <w:rPr>
          <w:rFonts w:hint="eastAsia"/>
          <w:color w:val="auto"/>
          <w:highlight w:val="none"/>
          <w:lang w:val="zh-CN"/>
        </w:rPr>
      </w:pPr>
      <w:r>
        <w:rPr>
          <w:rFonts w:hint="eastAsia" w:ascii="宋体" w:hAnsi="宋体" w:eastAsia="宋体" w:cs="宋体"/>
          <w:color w:val="auto"/>
          <w:sz w:val="24"/>
          <w:highlight w:val="none"/>
          <w:lang w:val="zh-CN"/>
        </w:rPr>
        <w:t xml:space="preserve">年      月      日        </w:t>
      </w:r>
    </w:p>
    <w:p>
      <w:pPr>
        <w:autoSpaceDE w:val="0"/>
        <w:autoSpaceDN w:val="0"/>
        <w:adjustRightInd w:val="0"/>
        <w:snapToGrid w:val="0"/>
        <w:spacing w:line="360" w:lineRule="auto"/>
        <w:ind w:firstLine="3424" w:firstLineChars="1421"/>
        <w:rPr>
          <w:rFonts w:hint="eastAsia" w:ascii="宋体" w:hAnsi="宋体" w:eastAsia="宋体" w:cs="宋体"/>
          <w:b/>
          <w:color w:val="auto"/>
          <w:sz w:val="24"/>
          <w:highlight w:val="none"/>
          <w:lang w:val="zh-CN"/>
        </w:rPr>
      </w:pPr>
    </w:p>
    <w:p>
      <w:pPr>
        <w:autoSpaceDE w:val="0"/>
        <w:autoSpaceDN w:val="0"/>
        <w:adjustRightInd w:val="0"/>
        <w:snapToGrid w:val="0"/>
        <w:spacing w:line="360" w:lineRule="auto"/>
        <w:ind w:firstLine="3424" w:firstLineChars="1421"/>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二、投标书</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重庆医科大学：</w:t>
      </w:r>
    </w:p>
    <w:p>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我们收到</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的招标文件，经详细研究，愿意参加投标。并授权下述签字人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联系电话：</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全权代表我投标单位提交下述文件正本一份，副本一式</w:t>
      </w:r>
      <w:r>
        <w:rPr>
          <w:rFonts w:hint="eastAsia" w:ascii="宋体" w:hAnsi="宋体" w:eastAsia="宋体" w:cs="宋体"/>
          <w:color w:val="auto"/>
          <w:sz w:val="24"/>
          <w:highlight w:val="none"/>
          <w:u w:val="single"/>
          <w:lang w:val="zh-CN"/>
        </w:rPr>
        <w:t xml:space="preserve">  叁 </w:t>
      </w:r>
      <w:r>
        <w:rPr>
          <w:rFonts w:hint="eastAsia" w:ascii="宋体" w:hAnsi="宋体" w:eastAsia="宋体" w:cs="宋体"/>
          <w:color w:val="auto"/>
          <w:sz w:val="24"/>
          <w:highlight w:val="none"/>
          <w:lang w:val="zh-CN"/>
        </w:rPr>
        <w:t>份。文件包括：</w:t>
      </w:r>
    </w:p>
    <w:p>
      <w:pPr>
        <w:autoSpaceDE w:val="0"/>
        <w:autoSpaceDN w:val="0"/>
        <w:adjustRightInd w:val="0"/>
        <w:snapToGri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1.投标书。    </w:t>
      </w:r>
    </w:p>
    <w:p>
      <w:pPr>
        <w:autoSpaceDE w:val="0"/>
        <w:autoSpaceDN w:val="0"/>
        <w:adjustRightInd w:val="0"/>
        <w:snapToGri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2.资格证明文件。</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3.并同时宣布愿意遵守下列条款：</w:t>
      </w:r>
    </w:p>
    <w:p>
      <w:pPr>
        <w:autoSpaceDE w:val="0"/>
        <w:autoSpaceDN w:val="0"/>
        <w:adjustRightInd w:val="0"/>
        <w:snapToGrid w:val="0"/>
        <w:spacing w:line="360" w:lineRule="auto"/>
        <w:ind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（1）承认和愿意按照招标文件的各项规定和要求，提供邀标产品。投标单见附表1。</w:t>
      </w:r>
    </w:p>
    <w:p>
      <w:pPr>
        <w:autoSpaceDE w:val="0"/>
        <w:autoSpaceDN w:val="0"/>
        <w:adjustRightInd w:val="0"/>
        <w:snapToGrid w:val="0"/>
        <w:spacing w:line="360" w:lineRule="auto"/>
        <w:ind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（2）愿意按照国家《合同法》履行自己的责任和义务。</w:t>
      </w:r>
    </w:p>
    <w:p>
      <w:pPr>
        <w:autoSpaceDE w:val="0"/>
        <w:autoSpaceDN w:val="0"/>
        <w:adjustRightInd w:val="0"/>
        <w:snapToGrid w:val="0"/>
        <w:spacing w:line="360" w:lineRule="auto"/>
        <w:ind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（3）理解招标人不以最低价格作为唯一中标的选择标准。</w:t>
      </w:r>
    </w:p>
    <w:p>
      <w:pPr>
        <w:autoSpaceDE w:val="0"/>
        <w:autoSpaceDN w:val="0"/>
        <w:adjustRightInd w:val="0"/>
        <w:snapToGrid w:val="0"/>
        <w:spacing w:line="360" w:lineRule="auto"/>
        <w:ind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（4）如果我们成为中标候选人，我们会按你们的要求接受当面质询和商务谈判，并为你们的一切考查活动提供支持和方便。</w:t>
      </w:r>
    </w:p>
    <w:p>
      <w:pPr>
        <w:autoSpaceDE w:val="0"/>
        <w:autoSpaceDN w:val="0"/>
        <w:adjustRightInd w:val="0"/>
        <w:snapToGrid w:val="0"/>
        <w:spacing w:line="360" w:lineRule="auto"/>
        <w:ind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（5）如果我们中标，我们将在招标文件规定时间签订供货合同，并按期、按质、按量完成任务。</w:t>
      </w:r>
    </w:p>
    <w:p>
      <w:pPr>
        <w:autoSpaceDE w:val="0"/>
        <w:autoSpaceDN w:val="0"/>
        <w:adjustRightInd w:val="0"/>
        <w:snapToGrid w:val="0"/>
        <w:spacing w:line="360" w:lineRule="auto"/>
        <w:ind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（6）能够提供招标文件中要求的所有资料。</w:t>
      </w:r>
    </w:p>
    <w:p>
      <w:pPr>
        <w:autoSpaceDE w:val="0"/>
        <w:autoSpaceDN w:val="0"/>
        <w:adjustRightInd w:val="0"/>
        <w:snapToGrid w:val="0"/>
        <w:spacing w:line="360" w:lineRule="auto"/>
        <w:ind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（7）遵守招标文件规定的收费项目和标准，响应招标文书的要求。</w:t>
      </w:r>
    </w:p>
    <w:p>
      <w:pPr>
        <w:autoSpaceDE w:val="0"/>
        <w:autoSpaceDN w:val="0"/>
        <w:adjustRightInd w:val="0"/>
        <w:snapToGrid w:val="0"/>
        <w:spacing w:line="360" w:lineRule="auto"/>
        <w:ind w:firstLine="600" w:firstLineChars="2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4.有关本投标书的函、电请按下列地址联系：</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p>
    <w:p>
      <w:pPr>
        <w:autoSpaceDE w:val="0"/>
        <w:autoSpaceDN w:val="0"/>
        <w:adjustRightInd w:val="0"/>
        <w:snapToGrid w:val="0"/>
        <w:spacing w:line="360" w:lineRule="auto"/>
        <w:rPr>
          <w:rFonts w:hint="eastAsia" w:ascii="宋体" w:hAnsi="宋体" w:eastAsia="宋体" w:cs="宋体"/>
          <w:color w:val="auto"/>
          <w:sz w:val="24"/>
          <w:highlight w:val="none"/>
          <w:lang w:val="zh-CN"/>
        </w:rPr>
      </w:pPr>
    </w:p>
    <w:p>
      <w:pPr>
        <w:autoSpaceDE w:val="0"/>
        <w:autoSpaceDN w:val="0"/>
        <w:adjustRightInd w:val="0"/>
        <w:snapToGrid w:val="0"/>
        <w:spacing w:line="360" w:lineRule="auto"/>
        <w:ind w:firstLine="4680" w:firstLineChars="19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投标单位：          （盖章）</w:t>
      </w:r>
    </w:p>
    <w:p>
      <w:pPr>
        <w:autoSpaceDE w:val="0"/>
        <w:autoSpaceDN w:val="0"/>
        <w:adjustRightInd w:val="0"/>
        <w:snapToGrid w:val="0"/>
        <w:spacing w:line="360" w:lineRule="auto"/>
        <w:ind w:firstLine="4680" w:firstLineChars="19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法人或授权代表人：  （盖章）</w:t>
      </w:r>
    </w:p>
    <w:p>
      <w:pPr>
        <w:autoSpaceDE w:val="0"/>
        <w:autoSpaceDN w:val="0"/>
        <w:adjustRightInd w:val="0"/>
        <w:snapToGrid w:val="0"/>
        <w:spacing w:line="360" w:lineRule="auto"/>
        <w:ind w:right="480" w:firstLine="4680" w:firstLineChars="1950"/>
        <w:jc w:val="right"/>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年      月      日</w:t>
      </w:r>
    </w:p>
    <w:p>
      <w:pPr>
        <w:pStyle w:val="4"/>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三、法定代表人身份证明书（格式）</w:t>
      </w:r>
    </w:p>
    <w:p>
      <w:pPr>
        <w:tabs>
          <w:tab w:val="left" w:pos="6300"/>
        </w:tabs>
        <w:adjustRightInd w:val="0"/>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（法定代表人姓名）      </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u w:val="single"/>
        </w:rPr>
        <w:t xml:space="preserve">（投标人名称）     </w:t>
      </w:r>
      <w:r>
        <w:rPr>
          <w:rFonts w:hint="eastAsia" w:ascii="宋体" w:hAnsi="宋体" w:eastAsia="宋体" w:cs="宋体"/>
          <w:color w:val="auto"/>
          <w:sz w:val="24"/>
          <w:highlight w:val="none"/>
        </w:rPr>
        <w:t>任</w:t>
      </w:r>
      <w:r>
        <w:rPr>
          <w:rFonts w:hint="eastAsia" w:ascii="宋体" w:hAnsi="宋体" w:eastAsia="宋体" w:cs="宋体"/>
          <w:color w:val="auto"/>
          <w:sz w:val="24"/>
          <w:highlight w:val="none"/>
          <w:u w:val="single"/>
        </w:rPr>
        <w:t xml:space="preserve">（职务名称）      </w:t>
      </w:r>
      <w:r>
        <w:rPr>
          <w:rFonts w:hint="eastAsia" w:ascii="宋体" w:hAnsi="宋体" w:eastAsia="宋体" w:cs="宋体"/>
          <w:color w:val="auto"/>
          <w:sz w:val="24"/>
          <w:highlight w:val="none"/>
        </w:rPr>
        <w:t>职务，是</w:t>
      </w:r>
      <w:r>
        <w:rPr>
          <w:rFonts w:hint="eastAsia" w:ascii="宋体" w:hAnsi="宋体" w:eastAsia="宋体" w:cs="宋体"/>
          <w:color w:val="auto"/>
          <w:sz w:val="24"/>
          <w:highlight w:val="none"/>
          <w:u w:val="single"/>
        </w:rPr>
        <w:t xml:space="preserve">（投标人名称）    </w:t>
      </w:r>
      <w:r>
        <w:rPr>
          <w:rFonts w:hint="eastAsia" w:ascii="宋体" w:hAnsi="宋体" w:eastAsia="宋体" w:cs="宋体"/>
          <w:color w:val="auto"/>
          <w:sz w:val="24"/>
          <w:highlight w:val="none"/>
        </w:rPr>
        <w:t>的法定代表人。</w:t>
      </w:r>
    </w:p>
    <w:p>
      <w:pPr>
        <w:adjustRightInd w:val="0"/>
        <w:snapToGrid w:val="0"/>
        <w:spacing w:line="240" w:lineRule="auto"/>
        <w:ind w:firstLine="600" w:firstLineChars="250"/>
        <w:rPr>
          <w:rFonts w:hint="eastAsia" w:ascii="宋体" w:hAnsi="宋体" w:eastAsia="宋体" w:cs="宋体"/>
          <w:color w:val="auto"/>
          <w:sz w:val="24"/>
          <w:highlight w:val="none"/>
        </w:rPr>
      </w:pPr>
      <w:bookmarkStart w:id="34" w:name="_Toc156196470"/>
      <w:bookmarkStart w:id="35" w:name="_Toc156196559"/>
      <w:bookmarkStart w:id="36" w:name="_Toc166139912"/>
      <w:bookmarkStart w:id="37" w:name="_Toc128229302"/>
      <w:bookmarkStart w:id="38" w:name="_Toc175017342"/>
      <w:bookmarkStart w:id="39" w:name="_Toc128229745"/>
      <w:bookmarkStart w:id="40" w:name="_Toc173677397"/>
      <w:bookmarkStart w:id="41" w:name="_Toc156815770"/>
      <w:bookmarkStart w:id="42" w:name="_Toc128229916"/>
      <w:bookmarkStart w:id="43" w:name="_Toc156730450"/>
      <w:bookmarkStart w:id="44" w:name="_Toc166549448"/>
      <w:r>
        <w:rPr>
          <w:rFonts w:hint="eastAsia" w:ascii="宋体" w:hAnsi="宋体" w:eastAsia="宋体" w:cs="宋体"/>
          <w:color w:val="auto"/>
          <w:sz w:val="24"/>
          <w:highlight w:val="none"/>
        </w:rPr>
        <w:t>特此证明。</w:t>
      </w:r>
      <w:bookmarkEnd w:id="34"/>
      <w:bookmarkEnd w:id="35"/>
      <w:bookmarkEnd w:id="36"/>
      <w:bookmarkEnd w:id="37"/>
      <w:bookmarkEnd w:id="38"/>
      <w:bookmarkEnd w:id="39"/>
      <w:bookmarkEnd w:id="40"/>
      <w:bookmarkEnd w:id="41"/>
      <w:bookmarkEnd w:id="42"/>
      <w:bookmarkEnd w:id="43"/>
      <w:bookmarkEnd w:id="44"/>
    </w:p>
    <w:p>
      <w:pPr>
        <w:pStyle w:val="2"/>
        <w:spacing w:line="240" w:lineRule="auto"/>
        <w:rPr>
          <w:rFonts w:hint="eastAsia" w:eastAsia="宋体"/>
          <w:color w:val="auto"/>
          <w:highlight w:val="none"/>
          <w:lang w:eastAsia="zh-CN"/>
        </w:rPr>
      </w:pPr>
      <w:r>
        <w:rPr>
          <w:rFonts w:hint="eastAsia" w:ascii="宋体" w:hAnsi="宋体" w:cs="宋体"/>
          <w:color w:val="auto"/>
          <w:sz w:val="24"/>
          <w:highlight w:val="none"/>
          <w:lang w:eastAsia="zh-CN"/>
        </w:rPr>
        <w:t>（附法定代表人身份证双面复印件）</w:t>
      </w:r>
    </w:p>
    <w:p>
      <w:pPr>
        <w:adjustRightInd w:val="0"/>
        <w:snapToGrid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bookmarkStart w:id="45" w:name="_Toc156815771"/>
      <w:bookmarkStart w:id="46" w:name="_Toc156196471"/>
      <w:bookmarkStart w:id="47" w:name="_Toc128229746"/>
      <w:bookmarkStart w:id="48" w:name="_Toc156730451"/>
      <w:bookmarkStart w:id="49" w:name="_Toc128229303"/>
      <w:bookmarkStart w:id="50" w:name="_Toc175017343"/>
      <w:bookmarkStart w:id="51" w:name="_Toc128229917"/>
      <w:bookmarkStart w:id="52" w:name="_Toc166139913"/>
      <w:bookmarkStart w:id="53" w:name="_Toc166549449"/>
      <w:bookmarkStart w:id="54" w:name="_Toc156196560"/>
      <w:bookmarkStart w:id="55" w:name="_Toc173677398"/>
      <w:r>
        <w:rPr>
          <w:rFonts w:hint="eastAsia" w:ascii="宋体" w:hAnsi="宋体" w:eastAsia="宋体" w:cs="宋体"/>
          <w:color w:val="auto"/>
          <w:sz w:val="24"/>
          <w:highlight w:val="none"/>
        </w:rPr>
        <w:t xml:space="preserve">  投标人全称</w:t>
      </w:r>
      <w:bookmarkEnd w:id="45"/>
      <w:bookmarkEnd w:id="46"/>
      <w:bookmarkEnd w:id="47"/>
      <w:bookmarkEnd w:id="48"/>
      <w:bookmarkEnd w:id="49"/>
      <w:bookmarkEnd w:id="50"/>
      <w:bookmarkEnd w:id="51"/>
      <w:bookmarkEnd w:id="52"/>
      <w:bookmarkEnd w:id="53"/>
      <w:bookmarkEnd w:id="54"/>
      <w:bookmarkEnd w:id="55"/>
      <w:r>
        <w:rPr>
          <w:rFonts w:hint="eastAsia" w:ascii="宋体" w:hAnsi="宋体" w:eastAsia="宋体" w:cs="宋体"/>
          <w:color w:val="auto"/>
          <w:sz w:val="24"/>
          <w:highlight w:val="none"/>
        </w:rPr>
        <w:t>：（公章）</w:t>
      </w:r>
    </w:p>
    <w:p>
      <w:pPr>
        <w:tabs>
          <w:tab w:val="left" w:pos="6300"/>
        </w:tabs>
        <w:adjustRightInd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tabs>
          <w:tab w:val="left" w:pos="6300"/>
        </w:tabs>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pPr>
        <w:pStyle w:val="4"/>
        <w:adjustRightInd w:val="0"/>
        <w:snapToGrid w:val="0"/>
        <w:spacing w:line="360" w:lineRule="auto"/>
        <w:rPr>
          <w:rFonts w:hint="eastAsia" w:ascii="宋体" w:hAnsi="宋体" w:eastAsia="宋体" w:cs="宋体"/>
          <w:color w:val="auto"/>
          <w:highlight w:val="none"/>
        </w:rPr>
      </w:pPr>
      <w:bookmarkStart w:id="56" w:name="_Toc173677399"/>
      <w:bookmarkStart w:id="57" w:name="_Toc128229747"/>
      <w:bookmarkStart w:id="58" w:name="_Toc175017344"/>
      <w:bookmarkStart w:id="59" w:name="_Toc128229304"/>
      <w:bookmarkStart w:id="60" w:name="_Toc128014297"/>
      <w:bookmarkStart w:id="61" w:name="_Toc237057793"/>
      <w:bookmarkStart w:id="62" w:name="_Toc156196472"/>
      <w:r>
        <w:rPr>
          <w:rFonts w:hint="eastAsia" w:ascii="宋体" w:hAnsi="宋体" w:eastAsia="宋体" w:cs="宋体"/>
          <w:color w:val="auto"/>
          <w:highlight w:val="none"/>
        </w:rPr>
        <w:t xml:space="preserve">      四、投标人法定代表人授权委托书（格式）</w:t>
      </w:r>
      <w:bookmarkEnd w:id="56"/>
      <w:bookmarkEnd w:id="57"/>
      <w:bookmarkEnd w:id="58"/>
      <w:bookmarkEnd w:id="59"/>
      <w:bookmarkEnd w:id="60"/>
      <w:bookmarkEnd w:id="61"/>
      <w:bookmarkEnd w:id="62"/>
    </w:p>
    <w:p>
      <w:pPr>
        <w:pStyle w:val="11"/>
        <w:tabs>
          <w:tab w:val="left" w:pos="6300"/>
        </w:tabs>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p>
    <w:p>
      <w:pPr>
        <w:tabs>
          <w:tab w:val="left" w:pos="630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tabs>
          <w:tab w:val="left" w:pos="630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tabs>
          <w:tab w:val="left" w:pos="6300"/>
        </w:tabs>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重庆医科大学</w:t>
      </w:r>
    </w:p>
    <w:p>
      <w:pPr>
        <w:tabs>
          <w:tab w:val="left" w:pos="6300"/>
        </w:tabs>
        <w:adjustRightInd w:val="0"/>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是中华人民共和国合法企业，法定地址</w:t>
      </w:r>
      <w:r>
        <w:rPr>
          <w:rFonts w:hint="eastAsia" w:ascii="宋体" w:hAnsi="宋体" w:eastAsia="宋体" w:cs="宋体"/>
          <w:color w:val="auto"/>
          <w:sz w:val="24"/>
          <w:highlight w:val="none"/>
          <w:u w:val="single"/>
        </w:rPr>
        <w:t xml:space="preserve">                               。</w:t>
      </w:r>
    </w:p>
    <w:p>
      <w:pPr>
        <w:tabs>
          <w:tab w:val="left" w:pos="6300"/>
        </w:tabs>
        <w:adjustRightInd w:val="0"/>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（投标人法定代表人姓名）</w:t>
      </w:r>
      <w:r>
        <w:rPr>
          <w:rFonts w:hint="eastAsia" w:ascii="宋体" w:hAnsi="宋体" w:eastAsia="宋体" w:cs="宋体"/>
          <w:color w:val="auto"/>
          <w:sz w:val="24"/>
          <w:highlight w:val="none"/>
        </w:rPr>
        <w:t>特授权</w:t>
      </w:r>
      <w:r>
        <w:rPr>
          <w:rFonts w:hint="eastAsia" w:ascii="宋体" w:hAnsi="宋体" w:eastAsia="宋体" w:cs="宋体"/>
          <w:color w:val="auto"/>
          <w:sz w:val="24"/>
          <w:highlight w:val="none"/>
          <w:u w:val="single"/>
        </w:rPr>
        <w:t xml:space="preserve">                 （被授权人姓名及身份证代码）</w:t>
      </w:r>
      <w:r>
        <w:rPr>
          <w:rFonts w:hint="eastAsia" w:ascii="宋体" w:hAnsi="宋体" w:eastAsia="宋体" w:cs="宋体"/>
          <w:color w:val="auto"/>
          <w:sz w:val="24"/>
          <w:highlight w:val="none"/>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我单位对被授权人的签名负全部责任。</w:t>
      </w:r>
    </w:p>
    <w:p>
      <w:pPr>
        <w:tabs>
          <w:tab w:val="left" w:pos="6300"/>
        </w:tabs>
        <w:adjustRightInd w:val="0"/>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被授权人签名：                  投标人法定代表人签名：</w:t>
      </w:r>
    </w:p>
    <w:p>
      <w:pPr>
        <w:tabs>
          <w:tab w:val="left" w:pos="6300"/>
        </w:tabs>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职  务：                        职  务：</w:t>
      </w:r>
    </w:p>
    <w:p>
      <w:pPr>
        <w:tabs>
          <w:tab w:val="left" w:pos="6300"/>
        </w:tabs>
        <w:adjustRightInd w:val="0"/>
        <w:snapToGrid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 </w:t>
      </w:r>
    </w:p>
    <w:p>
      <w:pPr>
        <w:tabs>
          <w:tab w:val="left" w:pos="6300"/>
        </w:tabs>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r>
        <w:rPr>
          <w:rFonts w:hint="eastAsia" w:ascii="宋体" w:hAnsi="宋体" w:cs="宋体"/>
          <w:color w:val="auto"/>
          <w:sz w:val="24"/>
          <w:highlight w:val="none"/>
          <w:lang w:eastAsia="zh-CN"/>
        </w:rPr>
        <w:t>被授权人</w:t>
      </w:r>
      <w:r>
        <w:rPr>
          <w:rFonts w:hint="eastAsia" w:ascii="宋体" w:hAnsi="宋体" w:eastAsia="宋体" w:cs="宋体"/>
          <w:color w:val="auto"/>
          <w:sz w:val="24"/>
          <w:highlight w:val="none"/>
        </w:rPr>
        <w:t>身份证</w:t>
      </w:r>
      <w:r>
        <w:rPr>
          <w:rFonts w:hint="eastAsia" w:ascii="宋体" w:hAnsi="宋体" w:cs="宋体"/>
          <w:color w:val="auto"/>
          <w:sz w:val="24"/>
          <w:highlight w:val="none"/>
          <w:lang w:eastAsia="zh-CN"/>
        </w:rPr>
        <w:t>双面</w:t>
      </w:r>
      <w:r>
        <w:rPr>
          <w:rFonts w:hint="eastAsia" w:ascii="宋体" w:hAnsi="宋体" w:eastAsia="宋体" w:cs="宋体"/>
          <w:color w:val="auto"/>
          <w:sz w:val="24"/>
          <w:highlight w:val="none"/>
        </w:rPr>
        <w:t>复印件）</w:t>
      </w:r>
    </w:p>
    <w:p>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pPr>
        <w:pStyle w:val="4"/>
        <w:jc w:val="both"/>
        <w:rPr>
          <w:rFonts w:hint="eastAsia" w:ascii="宋体" w:hAnsi="宋体" w:eastAsia="宋体" w:cs="宋体"/>
          <w:color w:val="auto"/>
          <w:highlight w:val="none"/>
        </w:rPr>
      </w:pPr>
    </w:p>
    <w:p>
      <w:pPr>
        <w:pStyle w:val="18"/>
        <w:ind w:leftChars="0" w:firstLine="0"/>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五、报价函</w:t>
      </w:r>
    </w:p>
    <w:p>
      <w:pPr>
        <w:tabs>
          <w:tab w:val="left" w:pos="6300"/>
        </w:tabs>
        <w:snapToGrid w:val="0"/>
        <w:spacing w:line="480" w:lineRule="exact"/>
        <w:jc w:val="center"/>
        <w:outlineLvl w:val="0"/>
        <w:rPr>
          <w:rFonts w:hint="eastAsia" w:ascii="宋体" w:hAnsi="宋体" w:eastAsia="宋体" w:cs="宋体"/>
          <w:b/>
          <w:color w:val="auto"/>
          <w:szCs w:val="21"/>
          <w:highlight w:val="none"/>
        </w:rPr>
      </w:pPr>
      <w:bookmarkStart w:id="63" w:name="_Toc89868484"/>
      <w:r>
        <w:rPr>
          <w:rFonts w:hint="eastAsia" w:ascii="宋体" w:hAnsi="宋体" w:eastAsia="宋体" w:cs="宋体"/>
          <w:b/>
          <w:color w:val="auto"/>
          <w:szCs w:val="21"/>
          <w:highlight w:val="none"/>
        </w:rPr>
        <w:t>报价函</w:t>
      </w:r>
      <w:bookmarkEnd w:id="63"/>
    </w:p>
    <w:p>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重庆医科大学</w:t>
      </w:r>
      <w:r>
        <w:rPr>
          <w:rFonts w:hint="eastAsia" w:ascii="宋体" w:hAnsi="宋体" w:eastAsia="宋体" w:cs="宋体"/>
          <w:color w:val="auto"/>
          <w:sz w:val="24"/>
          <w:szCs w:val="24"/>
          <w:highlight w:val="none"/>
        </w:rPr>
        <w:t>：</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（项目名称）的招标文件，经详细研究，决定参加该项目的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1、愿意按照院内采购文件中的一切要求，提供本项目涉及的所有内容，初始报价为人民币大写：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。以我公司最后报价为准。</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3、我方承诺：本次谈判的有效期为90天。</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4、我方完全理解和接受贵方该项目招标文件的一切规定和要求及谈判评审办法。</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5、在整个该项目招标过程中，我方若有违规行为，接受相关法律法规和该项目招标文件之规定给予的惩罚。</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7、我方同意按该项目招标文件规定，交纳该项目招标文件要求的保证金。</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8、我方未为该项目提供整体设计、规范编制或者项目管理、监理、检测等服务。</w:t>
      </w:r>
    </w:p>
    <w:p>
      <w:pPr>
        <w:tabs>
          <w:tab w:val="left" w:pos="6300"/>
        </w:tabs>
        <w:snapToGrid w:val="0"/>
        <w:spacing w:line="312" w:lineRule="auto"/>
        <w:ind w:firstLine="570"/>
        <w:rPr>
          <w:rFonts w:hint="eastAsia" w:ascii="宋体" w:hAnsi="宋体" w:eastAsia="宋体" w:cs="宋体"/>
          <w:color w:val="auto"/>
          <w:sz w:val="24"/>
          <w:szCs w:val="24"/>
          <w:highlight w:val="none"/>
        </w:rPr>
      </w:pP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pPr>
        <w:tabs>
          <w:tab w:val="left" w:pos="6300"/>
        </w:tabs>
        <w:snapToGrid w:val="0"/>
        <w:spacing w:line="312" w:lineRule="auto"/>
        <w:ind w:firstLine="57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账号：</w:t>
      </w:r>
    </w:p>
    <w:p>
      <w:pPr>
        <w:adjustRightInd w:val="0"/>
        <w:snapToGrid w:val="0"/>
        <w:spacing w:line="360" w:lineRule="auto"/>
        <w:ind w:firstLine="2880" w:firstLineChars="1200"/>
        <w:jc w:val="right"/>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t>年   月   日</w:t>
      </w:r>
    </w:p>
    <w:p>
      <w:pPr>
        <w:pStyle w:val="4"/>
        <w:numPr>
          <w:ilvl w:val="0"/>
          <w:numId w:val="3"/>
        </w:numPr>
        <w:rPr>
          <w:rFonts w:hint="eastAsia" w:ascii="宋体" w:hAnsi="宋体" w:eastAsia="宋体" w:cs="宋体"/>
          <w:b/>
          <w:color w:val="auto"/>
          <w:sz w:val="24"/>
          <w:highlight w:val="none"/>
        </w:rPr>
      </w:pPr>
      <w:r>
        <w:rPr>
          <w:rFonts w:hint="eastAsia" w:ascii="宋体" w:hAnsi="宋体" w:cs="宋体"/>
          <w:color w:val="auto"/>
          <w:sz w:val="24"/>
          <w:highlight w:val="none"/>
          <w:lang w:eastAsia="zh-CN"/>
        </w:rPr>
        <w:t>项目分项报价</w:t>
      </w:r>
      <w:r>
        <w:rPr>
          <w:rFonts w:hint="eastAsia" w:ascii="宋体" w:hAnsi="宋体" w:eastAsia="宋体" w:cs="宋体"/>
          <w:color w:val="auto"/>
          <w:sz w:val="24"/>
          <w:highlight w:val="none"/>
        </w:rPr>
        <w:t>清单</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 xml:space="preserve">                                 </w:t>
      </w:r>
    </w:p>
    <w:p>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 xml:space="preserve">                                                                         </w:t>
      </w:r>
    </w:p>
    <w:p>
      <w:pPr>
        <w:pStyle w:val="18"/>
        <w:ind w:leftChars="0" w:firstLine="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color w:val="auto"/>
          <w:sz w:val="24"/>
          <w:szCs w:val="24"/>
          <w:lang w:eastAsia="zh-CN"/>
        </w:rPr>
        <w:t>说明：</w:t>
      </w:r>
      <w:r>
        <w:rPr>
          <w:rFonts w:hint="eastAsia" w:ascii="仿宋_GB2312" w:hAnsi="仿宋_GB2312" w:eastAsia="仿宋_GB2312" w:cs="仿宋_GB2312"/>
          <w:b w:val="0"/>
          <w:bCs/>
          <w:color w:val="auto"/>
          <w:sz w:val="24"/>
          <w:szCs w:val="24"/>
          <w:lang w:eastAsia="zh-CN"/>
        </w:rPr>
        <w:t>投标单位自拟，须体现本项目总报价构成，包含的各类服务的单价等信息，下表仅作参考。</w:t>
      </w:r>
    </w:p>
    <w:p>
      <w:pPr>
        <w:pStyle w:val="4"/>
        <w:numPr>
          <w:ilvl w:val="0"/>
          <w:numId w:val="0"/>
        </w:numPr>
        <w:ind w:firstLine="8400" w:firstLineChars="350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单位：元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2236"/>
        <w:gridCol w:w="808"/>
        <w:gridCol w:w="735"/>
        <w:gridCol w:w="111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557" w:type="dxa"/>
            <w:noWrap w:val="0"/>
            <w:vAlign w:val="center"/>
          </w:tcPr>
          <w:p>
            <w:pPr>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分项名称</w:t>
            </w:r>
          </w:p>
        </w:tc>
        <w:tc>
          <w:tcPr>
            <w:tcW w:w="2236" w:type="dxa"/>
            <w:noWrap w:val="0"/>
            <w:vAlign w:val="center"/>
          </w:tcPr>
          <w:p>
            <w:pPr>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分项内容</w:t>
            </w:r>
          </w:p>
        </w:tc>
        <w:tc>
          <w:tcPr>
            <w:tcW w:w="808" w:type="dxa"/>
            <w:noWrap w:val="0"/>
            <w:vAlign w:val="center"/>
          </w:tcPr>
          <w:p>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数量</w:t>
            </w:r>
          </w:p>
        </w:tc>
        <w:tc>
          <w:tcPr>
            <w:tcW w:w="735" w:type="dxa"/>
            <w:noWrap w:val="0"/>
            <w:vAlign w:val="center"/>
          </w:tcPr>
          <w:p>
            <w:pPr>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单位</w:t>
            </w:r>
          </w:p>
        </w:tc>
        <w:tc>
          <w:tcPr>
            <w:tcW w:w="1110" w:type="dxa"/>
            <w:noWrap w:val="0"/>
            <w:vAlign w:val="center"/>
          </w:tcPr>
          <w:p>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单价</w:t>
            </w:r>
          </w:p>
        </w:tc>
        <w:tc>
          <w:tcPr>
            <w:tcW w:w="1335" w:type="dxa"/>
            <w:noWrap w:val="0"/>
            <w:vAlign w:val="center"/>
          </w:tcPr>
          <w:p>
            <w:pPr>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9"/>
              <w:spacing w:line="240" w:lineRule="atLeast"/>
              <w:jc w:val="both"/>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57" w:type="dxa"/>
            <w:noWrap w:val="0"/>
            <w:vAlign w:val="center"/>
          </w:tcPr>
          <w:p>
            <w:pPr>
              <w:jc w:val="center"/>
              <w:rPr>
                <w:rFonts w:hint="eastAsia" w:ascii="仿宋_GB2312" w:hAnsi="仿宋_GB2312" w:eastAsia="仿宋_GB2312" w:cs="仿宋_GB2312"/>
                <w:color w:val="auto"/>
                <w:sz w:val="24"/>
                <w:szCs w:val="24"/>
              </w:rPr>
            </w:pPr>
          </w:p>
        </w:tc>
        <w:tc>
          <w:tcPr>
            <w:tcW w:w="2236" w:type="dxa"/>
            <w:noWrap w:val="0"/>
            <w:vAlign w:val="top"/>
          </w:tcPr>
          <w:p>
            <w:pPr>
              <w:jc w:val="center"/>
              <w:rPr>
                <w:rFonts w:hint="eastAsia" w:ascii="仿宋_GB2312" w:hAnsi="仿宋_GB2312" w:eastAsia="仿宋_GB2312" w:cs="仿宋_GB2312"/>
                <w:color w:val="auto"/>
                <w:sz w:val="24"/>
                <w:szCs w:val="24"/>
              </w:rPr>
            </w:pPr>
          </w:p>
        </w:tc>
        <w:tc>
          <w:tcPr>
            <w:tcW w:w="808" w:type="dxa"/>
            <w:noWrap w:val="0"/>
            <w:vAlign w:val="center"/>
          </w:tcPr>
          <w:p>
            <w:pPr>
              <w:jc w:val="center"/>
              <w:rPr>
                <w:rFonts w:hint="eastAsia" w:ascii="仿宋_GB2312" w:hAnsi="仿宋_GB2312" w:eastAsia="仿宋_GB2312" w:cs="仿宋_GB2312"/>
                <w:color w:val="auto"/>
                <w:sz w:val="24"/>
                <w:szCs w:val="24"/>
              </w:rPr>
            </w:pPr>
          </w:p>
        </w:tc>
        <w:tc>
          <w:tcPr>
            <w:tcW w:w="735" w:type="dxa"/>
            <w:noWrap w:val="0"/>
            <w:vAlign w:val="top"/>
          </w:tcPr>
          <w:p>
            <w:pPr>
              <w:jc w:val="center"/>
              <w:rPr>
                <w:rFonts w:hint="eastAsia" w:ascii="仿宋_GB2312" w:hAnsi="仿宋_GB2312" w:eastAsia="仿宋_GB2312" w:cs="仿宋_GB2312"/>
                <w:color w:val="auto"/>
                <w:sz w:val="24"/>
                <w:szCs w:val="24"/>
              </w:rPr>
            </w:pPr>
          </w:p>
        </w:tc>
        <w:tc>
          <w:tcPr>
            <w:tcW w:w="1110" w:type="dxa"/>
            <w:noWrap w:val="0"/>
            <w:vAlign w:val="top"/>
          </w:tcPr>
          <w:p>
            <w:pPr>
              <w:jc w:val="center"/>
              <w:rPr>
                <w:rFonts w:hint="eastAsia" w:ascii="仿宋_GB2312" w:hAnsi="仿宋_GB2312" w:eastAsia="仿宋_GB2312" w:cs="仿宋_GB2312"/>
                <w:color w:val="auto"/>
                <w:sz w:val="24"/>
                <w:szCs w:val="24"/>
              </w:rPr>
            </w:pPr>
          </w:p>
        </w:tc>
        <w:tc>
          <w:tcPr>
            <w:tcW w:w="1335" w:type="dxa"/>
            <w:noWrap w:val="0"/>
            <w:vAlign w:val="top"/>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9"/>
              <w:spacing w:line="240" w:lineRule="atLeast"/>
              <w:jc w:val="both"/>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57" w:type="dxa"/>
            <w:noWrap w:val="0"/>
            <w:vAlign w:val="center"/>
          </w:tcPr>
          <w:p>
            <w:pPr>
              <w:jc w:val="center"/>
              <w:rPr>
                <w:rFonts w:hint="eastAsia" w:ascii="仿宋_GB2312" w:hAnsi="仿宋_GB2312" w:eastAsia="仿宋_GB2312" w:cs="仿宋_GB2312"/>
                <w:color w:val="auto"/>
                <w:sz w:val="24"/>
                <w:szCs w:val="24"/>
              </w:rPr>
            </w:pPr>
          </w:p>
        </w:tc>
        <w:tc>
          <w:tcPr>
            <w:tcW w:w="2236" w:type="dxa"/>
            <w:noWrap w:val="0"/>
            <w:vAlign w:val="top"/>
          </w:tcPr>
          <w:p>
            <w:pPr>
              <w:jc w:val="center"/>
              <w:rPr>
                <w:rFonts w:hint="eastAsia" w:ascii="仿宋_GB2312" w:hAnsi="仿宋_GB2312" w:eastAsia="仿宋_GB2312" w:cs="仿宋_GB2312"/>
                <w:color w:val="auto"/>
                <w:sz w:val="24"/>
                <w:szCs w:val="24"/>
              </w:rPr>
            </w:pPr>
          </w:p>
        </w:tc>
        <w:tc>
          <w:tcPr>
            <w:tcW w:w="808" w:type="dxa"/>
            <w:noWrap w:val="0"/>
            <w:vAlign w:val="center"/>
          </w:tcPr>
          <w:p>
            <w:pPr>
              <w:jc w:val="center"/>
              <w:rPr>
                <w:rFonts w:hint="eastAsia" w:ascii="仿宋_GB2312" w:hAnsi="仿宋_GB2312" w:eastAsia="仿宋_GB2312" w:cs="仿宋_GB2312"/>
                <w:color w:val="auto"/>
                <w:sz w:val="24"/>
                <w:szCs w:val="24"/>
              </w:rPr>
            </w:pPr>
          </w:p>
        </w:tc>
        <w:tc>
          <w:tcPr>
            <w:tcW w:w="735" w:type="dxa"/>
            <w:noWrap w:val="0"/>
            <w:vAlign w:val="top"/>
          </w:tcPr>
          <w:p>
            <w:pPr>
              <w:jc w:val="center"/>
              <w:rPr>
                <w:rFonts w:hint="eastAsia" w:ascii="仿宋_GB2312" w:hAnsi="仿宋_GB2312" w:eastAsia="仿宋_GB2312" w:cs="仿宋_GB2312"/>
                <w:color w:val="auto"/>
                <w:sz w:val="24"/>
                <w:szCs w:val="24"/>
              </w:rPr>
            </w:pPr>
          </w:p>
        </w:tc>
        <w:tc>
          <w:tcPr>
            <w:tcW w:w="1110" w:type="dxa"/>
            <w:noWrap w:val="0"/>
            <w:vAlign w:val="top"/>
          </w:tcPr>
          <w:p>
            <w:pPr>
              <w:jc w:val="center"/>
              <w:rPr>
                <w:rFonts w:hint="eastAsia" w:ascii="仿宋_GB2312" w:hAnsi="仿宋_GB2312" w:eastAsia="仿宋_GB2312" w:cs="仿宋_GB2312"/>
                <w:color w:val="auto"/>
                <w:sz w:val="24"/>
                <w:szCs w:val="24"/>
              </w:rPr>
            </w:pPr>
          </w:p>
        </w:tc>
        <w:tc>
          <w:tcPr>
            <w:tcW w:w="1335" w:type="dxa"/>
            <w:noWrap w:val="0"/>
            <w:vAlign w:val="top"/>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9"/>
              <w:spacing w:line="240" w:lineRule="atLeast"/>
              <w:jc w:val="both"/>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557" w:type="dxa"/>
            <w:noWrap w:val="0"/>
            <w:vAlign w:val="center"/>
          </w:tcPr>
          <w:p>
            <w:pPr>
              <w:jc w:val="center"/>
              <w:rPr>
                <w:rFonts w:hint="eastAsia" w:ascii="仿宋_GB2312" w:hAnsi="仿宋_GB2312" w:eastAsia="仿宋_GB2312" w:cs="仿宋_GB2312"/>
                <w:color w:val="auto"/>
                <w:sz w:val="24"/>
                <w:szCs w:val="24"/>
              </w:rPr>
            </w:pPr>
          </w:p>
        </w:tc>
        <w:tc>
          <w:tcPr>
            <w:tcW w:w="2236" w:type="dxa"/>
            <w:noWrap w:val="0"/>
            <w:vAlign w:val="top"/>
          </w:tcPr>
          <w:p>
            <w:pPr>
              <w:jc w:val="center"/>
              <w:rPr>
                <w:rFonts w:hint="eastAsia" w:ascii="仿宋_GB2312" w:hAnsi="仿宋_GB2312" w:eastAsia="仿宋_GB2312" w:cs="仿宋_GB2312"/>
                <w:color w:val="auto"/>
                <w:sz w:val="24"/>
                <w:szCs w:val="24"/>
              </w:rPr>
            </w:pPr>
          </w:p>
        </w:tc>
        <w:tc>
          <w:tcPr>
            <w:tcW w:w="808" w:type="dxa"/>
            <w:noWrap w:val="0"/>
            <w:vAlign w:val="center"/>
          </w:tcPr>
          <w:p>
            <w:pPr>
              <w:jc w:val="center"/>
              <w:rPr>
                <w:rFonts w:hint="eastAsia" w:ascii="仿宋_GB2312" w:hAnsi="仿宋_GB2312" w:eastAsia="仿宋_GB2312" w:cs="仿宋_GB2312"/>
                <w:color w:val="auto"/>
                <w:sz w:val="24"/>
                <w:szCs w:val="24"/>
              </w:rPr>
            </w:pPr>
          </w:p>
        </w:tc>
        <w:tc>
          <w:tcPr>
            <w:tcW w:w="735" w:type="dxa"/>
            <w:noWrap w:val="0"/>
            <w:vAlign w:val="top"/>
          </w:tcPr>
          <w:p>
            <w:pPr>
              <w:jc w:val="center"/>
              <w:rPr>
                <w:rFonts w:hint="eastAsia" w:ascii="仿宋_GB2312" w:hAnsi="仿宋_GB2312" w:eastAsia="仿宋_GB2312" w:cs="仿宋_GB2312"/>
                <w:color w:val="auto"/>
                <w:sz w:val="24"/>
                <w:szCs w:val="24"/>
              </w:rPr>
            </w:pPr>
          </w:p>
        </w:tc>
        <w:tc>
          <w:tcPr>
            <w:tcW w:w="1110" w:type="dxa"/>
            <w:noWrap w:val="0"/>
            <w:vAlign w:val="top"/>
          </w:tcPr>
          <w:p>
            <w:pPr>
              <w:jc w:val="center"/>
              <w:rPr>
                <w:rFonts w:hint="eastAsia" w:ascii="仿宋_GB2312" w:hAnsi="仿宋_GB2312" w:eastAsia="仿宋_GB2312" w:cs="仿宋_GB2312"/>
                <w:color w:val="auto"/>
                <w:sz w:val="24"/>
                <w:szCs w:val="24"/>
              </w:rPr>
            </w:pPr>
          </w:p>
        </w:tc>
        <w:tc>
          <w:tcPr>
            <w:tcW w:w="1335" w:type="dxa"/>
            <w:noWrap w:val="0"/>
            <w:vAlign w:val="top"/>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9"/>
              <w:spacing w:line="240" w:lineRule="atLeast"/>
              <w:jc w:val="both"/>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557" w:type="dxa"/>
            <w:noWrap w:val="0"/>
            <w:vAlign w:val="center"/>
          </w:tcPr>
          <w:p>
            <w:pPr>
              <w:jc w:val="center"/>
              <w:rPr>
                <w:rFonts w:hint="eastAsia" w:ascii="仿宋_GB2312" w:hAnsi="仿宋_GB2312" w:eastAsia="仿宋_GB2312" w:cs="仿宋_GB2312"/>
                <w:color w:val="auto"/>
                <w:sz w:val="24"/>
                <w:szCs w:val="24"/>
              </w:rPr>
            </w:pPr>
          </w:p>
        </w:tc>
        <w:tc>
          <w:tcPr>
            <w:tcW w:w="2236" w:type="dxa"/>
            <w:noWrap w:val="0"/>
            <w:vAlign w:val="top"/>
          </w:tcPr>
          <w:p>
            <w:pPr>
              <w:jc w:val="center"/>
              <w:rPr>
                <w:rFonts w:hint="eastAsia" w:ascii="仿宋_GB2312" w:hAnsi="仿宋_GB2312" w:eastAsia="仿宋_GB2312" w:cs="仿宋_GB2312"/>
                <w:color w:val="auto"/>
                <w:sz w:val="24"/>
                <w:szCs w:val="24"/>
              </w:rPr>
            </w:pPr>
          </w:p>
        </w:tc>
        <w:tc>
          <w:tcPr>
            <w:tcW w:w="808" w:type="dxa"/>
            <w:noWrap w:val="0"/>
            <w:vAlign w:val="center"/>
          </w:tcPr>
          <w:p>
            <w:pPr>
              <w:jc w:val="center"/>
              <w:rPr>
                <w:rFonts w:hint="eastAsia" w:ascii="仿宋_GB2312" w:hAnsi="仿宋_GB2312" w:eastAsia="仿宋_GB2312" w:cs="仿宋_GB2312"/>
                <w:color w:val="auto"/>
                <w:sz w:val="24"/>
                <w:szCs w:val="24"/>
              </w:rPr>
            </w:pPr>
          </w:p>
        </w:tc>
        <w:tc>
          <w:tcPr>
            <w:tcW w:w="735" w:type="dxa"/>
            <w:noWrap w:val="0"/>
            <w:vAlign w:val="top"/>
          </w:tcPr>
          <w:p>
            <w:pPr>
              <w:jc w:val="center"/>
              <w:rPr>
                <w:rFonts w:hint="eastAsia" w:ascii="仿宋_GB2312" w:hAnsi="仿宋_GB2312" w:eastAsia="仿宋_GB2312" w:cs="仿宋_GB2312"/>
                <w:color w:val="auto"/>
                <w:sz w:val="24"/>
                <w:szCs w:val="24"/>
              </w:rPr>
            </w:pPr>
          </w:p>
        </w:tc>
        <w:tc>
          <w:tcPr>
            <w:tcW w:w="1110" w:type="dxa"/>
            <w:noWrap w:val="0"/>
            <w:vAlign w:val="top"/>
          </w:tcPr>
          <w:p>
            <w:pPr>
              <w:jc w:val="center"/>
              <w:rPr>
                <w:rFonts w:hint="eastAsia" w:ascii="仿宋_GB2312" w:hAnsi="仿宋_GB2312" w:eastAsia="仿宋_GB2312" w:cs="仿宋_GB2312"/>
                <w:color w:val="auto"/>
                <w:sz w:val="24"/>
                <w:szCs w:val="24"/>
              </w:rPr>
            </w:pPr>
          </w:p>
        </w:tc>
        <w:tc>
          <w:tcPr>
            <w:tcW w:w="1335" w:type="dxa"/>
            <w:noWrap w:val="0"/>
            <w:vAlign w:val="top"/>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9"/>
              <w:spacing w:line="240" w:lineRule="atLeast"/>
              <w:jc w:val="both"/>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557" w:type="dxa"/>
            <w:noWrap w:val="0"/>
            <w:vAlign w:val="center"/>
          </w:tcPr>
          <w:p>
            <w:pPr>
              <w:jc w:val="center"/>
              <w:rPr>
                <w:rFonts w:hint="eastAsia" w:ascii="仿宋_GB2312" w:hAnsi="仿宋_GB2312" w:eastAsia="仿宋_GB2312" w:cs="仿宋_GB2312"/>
                <w:color w:val="auto"/>
                <w:sz w:val="24"/>
                <w:szCs w:val="24"/>
              </w:rPr>
            </w:pPr>
          </w:p>
        </w:tc>
        <w:tc>
          <w:tcPr>
            <w:tcW w:w="2236" w:type="dxa"/>
            <w:noWrap w:val="0"/>
            <w:vAlign w:val="top"/>
          </w:tcPr>
          <w:p>
            <w:pPr>
              <w:jc w:val="center"/>
              <w:rPr>
                <w:rFonts w:hint="eastAsia" w:ascii="仿宋_GB2312" w:hAnsi="仿宋_GB2312" w:eastAsia="仿宋_GB2312" w:cs="仿宋_GB2312"/>
                <w:color w:val="auto"/>
                <w:sz w:val="24"/>
                <w:szCs w:val="24"/>
              </w:rPr>
            </w:pPr>
          </w:p>
        </w:tc>
        <w:tc>
          <w:tcPr>
            <w:tcW w:w="808" w:type="dxa"/>
            <w:noWrap w:val="0"/>
            <w:vAlign w:val="center"/>
          </w:tcPr>
          <w:p>
            <w:pPr>
              <w:jc w:val="center"/>
              <w:rPr>
                <w:rFonts w:hint="eastAsia" w:ascii="仿宋_GB2312" w:hAnsi="仿宋_GB2312" w:eastAsia="仿宋_GB2312" w:cs="仿宋_GB2312"/>
                <w:color w:val="auto"/>
                <w:sz w:val="24"/>
                <w:szCs w:val="24"/>
              </w:rPr>
            </w:pPr>
          </w:p>
        </w:tc>
        <w:tc>
          <w:tcPr>
            <w:tcW w:w="735" w:type="dxa"/>
            <w:noWrap w:val="0"/>
            <w:vAlign w:val="top"/>
          </w:tcPr>
          <w:p>
            <w:pPr>
              <w:jc w:val="center"/>
              <w:rPr>
                <w:rFonts w:hint="eastAsia" w:ascii="仿宋_GB2312" w:hAnsi="仿宋_GB2312" w:eastAsia="仿宋_GB2312" w:cs="仿宋_GB2312"/>
                <w:color w:val="auto"/>
                <w:sz w:val="24"/>
                <w:szCs w:val="24"/>
              </w:rPr>
            </w:pPr>
          </w:p>
        </w:tc>
        <w:tc>
          <w:tcPr>
            <w:tcW w:w="1110" w:type="dxa"/>
            <w:noWrap w:val="0"/>
            <w:vAlign w:val="top"/>
          </w:tcPr>
          <w:p>
            <w:pPr>
              <w:jc w:val="center"/>
              <w:rPr>
                <w:rFonts w:hint="eastAsia" w:ascii="仿宋_GB2312" w:hAnsi="仿宋_GB2312" w:eastAsia="仿宋_GB2312" w:cs="仿宋_GB2312"/>
                <w:color w:val="auto"/>
                <w:sz w:val="24"/>
                <w:szCs w:val="24"/>
              </w:rPr>
            </w:pPr>
          </w:p>
        </w:tc>
        <w:tc>
          <w:tcPr>
            <w:tcW w:w="1335" w:type="dxa"/>
            <w:noWrap w:val="0"/>
            <w:vAlign w:val="top"/>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9"/>
              <w:spacing w:line="240" w:lineRule="atLeast"/>
              <w:jc w:val="both"/>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557" w:type="dxa"/>
            <w:noWrap w:val="0"/>
            <w:vAlign w:val="center"/>
          </w:tcPr>
          <w:p>
            <w:pPr>
              <w:jc w:val="center"/>
              <w:rPr>
                <w:rFonts w:hint="eastAsia" w:ascii="仿宋_GB2312" w:hAnsi="仿宋_GB2312" w:eastAsia="仿宋_GB2312" w:cs="仿宋_GB2312"/>
                <w:color w:val="auto"/>
                <w:sz w:val="24"/>
                <w:szCs w:val="24"/>
              </w:rPr>
            </w:pPr>
          </w:p>
        </w:tc>
        <w:tc>
          <w:tcPr>
            <w:tcW w:w="2236" w:type="dxa"/>
            <w:noWrap w:val="0"/>
            <w:vAlign w:val="top"/>
          </w:tcPr>
          <w:p>
            <w:pPr>
              <w:jc w:val="center"/>
              <w:rPr>
                <w:rFonts w:hint="eastAsia" w:ascii="仿宋_GB2312" w:hAnsi="仿宋_GB2312" w:eastAsia="仿宋_GB2312" w:cs="仿宋_GB2312"/>
                <w:color w:val="auto"/>
                <w:sz w:val="24"/>
                <w:szCs w:val="24"/>
              </w:rPr>
            </w:pPr>
          </w:p>
        </w:tc>
        <w:tc>
          <w:tcPr>
            <w:tcW w:w="808" w:type="dxa"/>
            <w:noWrap w:val="0"/>
            <w:vAlign w:val="center"/>
          </w:tcPr>
          <w:p>
            <w:pPr>
              <w:jc w:val="center"/>
              <w:rPr>
                <w:rFonts w:hint="eastAsia" w:ascii="仿宋_GB2312" w:hAnsi="仿宋_GB2312" w:eastAsia="仿宋_GB2312" w:cs="仿宋_GB2312"/>
                <w:color w:val="auto"/>
                <w:sz w:val="24"/>
                <w:szCs w:val="24"/>
              </w:rPr>
            </w:pPr>
          </w:p>
        </w:tc>
        <w:tc>
          <w:tcPr>
            <w:tcW w:w="735" w:type="dxa"/>
            <w:noWrap w:val="0"/>
            <w:vAlign w:val="top"/>
          </w:tcPr>
          <w:p>
            <w:pPr>
              <w:jc w:val="center"/>
              <w:rPr>
                <w:rFonts w:hint="eastAsia" w:ascii="仿宋_GB2312" w:hAnsi="仿宋_GB2312" w:eastAsia="仿宋_GB2312" w:cs="仿宋_GB2312"/>
                <w:color w:val="auto"/>
                <w:sz w:val="24"/>
                <w:szCs w:val="24"/>
              </w:rPr>
            </w:pPr>
          </w:p>
        </w:tc>
        <w:tc>
          <w:tcPr>
            <w:tcW w:w="1110" w:type="dxa"/>
            <w:noWrap w:val="0"/>
            <w:vAlign w:val="top"/>
          </w:tcPr>
          <w:p>
            <w:pPr>
              <w:jc w:val="center"/>
              <w:rPr>
                <w:rFonts w:hint="eastAsia" w:ascii="仿宋_GB2312" w:hAnsi="仿宋_GB2312" w:eastAsia="仿宋_GB2312" w:cs="仿宋_GB2312"/>
                <w:color w:val="auto"/>
                <w:sz w:val="24"/>
                <w:szCs w:val="24"/>
              </w:rPr>
            </w:pPr>
          </w:p>
        </w:tc>
        <w:tc>
          <w:tcPr>
            <w:tcW w:w="1335" w:type="dxa"/>
            <w:noWrap w:val="0"/>
            <w:vAlign w:val="top"/>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9"/>
              <w:spacing w:line="240" w:lineRule="atLeast"/>
              <w:jc w:val="both"/>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557" w:type="dxa"/>
            <w:noWrap w:val="0"/>
            <w:vAlign w:val="center"/>
          </w:tcPr>
          <w:p>
            <w:pPr>
              <w:jc w:val="center"/>
              <w:rPr>
                <w:rFonts w:hint="eastAsia" w:ascii="仿宋_GB2312" w:hAnsi="仿宋_GB2312" w:eastAsia="仿宋_GB2312" w:cs="仿宋_GB2312"/>
                <w:color w:val="auto"/>
                <w:sz w:val="24"/>
                <w:szCs w:val="24"/>
              </w:rPr>
            </w:pPr>
          </w:p>
        </w:tc>
        <w:tc>
          <w:tcPr>
            <w:tcW w:w="2236" w:type="dxa"/>
            <w:noWrap w:val="0"/>
            <w:vAlign w:val="top"/>
          </w:tcPr>
          <w:p>
            <w:pPr>
              <w:jc w:val="center"/>
              <w:rPr>
                <w:rFonts w:hint="eastAsia" w:ascii="仿宋_GB2312" w:hAnsi="仿宋_GB2312" w:eastAsia="仿宋_GB2312" w:cs="仿宋_GB2312"/>
                <w:color w:val="auto"/>
                <w:sz w:val="24"/>
                <w:szCs w:val="24"/>
              </w:rPr>
            </w:pPr>
          </w:p>
        </w:tc>
        <w:tc>
          <w:tcPr>
            <w:tcW w:w="808" w:type="dxa"/>
            <w:noWrap w:val="0"/>
            <w:vAlign w:val="center"/>
          </w:tcPr>
          <w:p>
            <w:pPr>
              <w:jc w:val="center"/>
              <w:rPr>
                <w:rFonts w:hint="eastAsia" w:ascii="仿宋_GB2312" w:hAnsi="仿宋_GB2312" w:eastAsia="仿宋_GB2312" w:cs="仿宋_GB2312"/>
                <w:color w:val="auto"/>
                <w:sz w:val="24"/>
                <w:szCs w:val="24"/>
              </w:rPr>
            </w:pPr>
          </w:p>
        </w:tc>
        <w:tc>
          <w:tcPr>
            <w:tcW w:w="735" w:type="dxa"/>
            <w:noWrap w:val="0"/>
            <w:vAlign w:val="top"/>
          </w:tcPr>
          <w:p>
            <w:pPr>
              <w:jc w:val="center"/>
              <w:rPr>
                <w:rFonts w:hint="eastAsia" w:ascii="仿宋_GB2312" w:hAnsi="仿宋_GB2312" w:eastAsia="仿宋_GB2312" w:cs="仿宋_GB2312"/>
                <w:color w:val="auto"/>
                <w:sz w:val="24"/>
                <w:szCs w:val="24"/>
              </w:rPr>
            </w:pPr>
          </w:p>
        </w:tc>
        <w:tc>
          <w:tcPr>
            <w:tcW w:w="1110" w:type="dxa"/>
            <w:noWrap w:val="0"/>
            <w:vAlign w:val="top"/>
          </w:tcPr>
          <w:p>
            <w:pPr>
              <w:jc w:val="center"/>
              <w:rPr>
                <w:rFonts w:hint="eastAsia" w:ascii="仿宋_GB2312" w:hAnsi="仿宋_GB2312" w:eastAsia="仿宋_GB2312" w:cs="仿宋_GB2312"/>
                <w:color w:val="auto"/>
                <w:sz w:val="24"/>
                <w:szCs w:val="24"/>
              </w:rPr>
            </w:pPr>
          </w:p>
        </w:tc>
        <w:tc>
          <w:tcPr>
            <w:tcW w:w="1335" w:type="dxa"/>
            <w:noWrap w:val="0"/>
            <w:vAlign w:val="top"/>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9"/>
              <w:spacing w:line="240" w:lineRule="atLeast"/>
              <w:jc w:val="both"/>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557"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p>
        </w:tc>
        <w:tc>
          <w:tcPr>
            <w:tcW w:w="2236" w:type="dxa"/>
            <w:noWrap w:val="0"/>
            <w:vAlign w:val="top"/>
          </w:tcPr>
          <w:p>
            <w:pPr>
              <w:jc w:val="center"/>
              <w:rPr>
                <w:rFonts w:hint="eastAsia" w:ascii="仿宋_GB2312" w:hAnsi="仿宋_GB2312" w:eastAsia="仿宋_GB2312" w:cs="仿宋_GB2312"/>
                <w:color w:val="auto"/>
                <w:sz w:val="24"/>
                <w:szCs w:val="24"/>
              </w:rPr>
            </w:pPr>
          </w:p>
        </w:tc>
        <w:tc>
          <w:tcPr>
            <w:tcW w:w="808" w:type="dxa"/>
            <w:noWrap w:val="0"/>
            <w:vAlign w:val="center"/>
          </w:tcPr>
          <w:p>
            <w:pPr>
              <w:jc w:val="center"/>
              <w:rPr>
                <w:rFonts w:hint="eastAsia" w:ascii="仿宋_GB2312" w:hAnsi="仿宋_GB2312" w:eastAsia="仿宋_GB2312" w:cs="仿宋_GB2312"/>
                <w:color w:val="auto"/>
                <w:sz w:val="24"/>
                <w:szCs w:val="24"/>
              </w:rPr>
            </w:pPr>
          </w:p>
        </w:tc>
        <w:tc>
          <w:tcPr>
            <w:tcW w:w="735" w:type="dxa"/>
            <w:noWrap w:val="0"/>
            <w:vAlign w:val="top"/>
          </w:tcPr>
          <w:p>
            <w:pPr>
              <w:jc w:val="center"/>
              <w:rPr>
                <w:rFonts w:hint="eastAsia" w:ascii="仿宋_GB2312" w:hAnsi="仿宋_GB2312" w:eastAsia="仿宋_GB2312" w:cs="仿宋_GB2312"/>
                <w:color w:val="auto"/>
                <w:sz w:val="24"/>
                <w:szCs w:val="24"/>
              </w:rPr>
            </w:pPr>
          </w:p>
        </w:tc>
        <w:tc>
          <w:tcPr>
            <w:tcW w:w="1110" w:type="dxa"/>
            <w:noWrap w:val="0"/>
            <w:vAlign w:val="top"/>
          </w:tcPr>
          <w:p>
            <w:pPr>
              <w:jc w:val="center"/>
              <w:rPr>
                <w:rFonts w:hint="eastAsia" w:ascii="仿宋_GB2312" w:hAnsi="仿宋_GB2312" w:eastAsia="仿宋_GB2312" w:cs="仿宋_GB2312"/>
                <w:color w:val="auto"/>
                <w:sz w:val="24"/>
                <w:szCs w:val="24"/>
              </w:rPr>
            </w:pPr>
          </w:p>
        </w:tc>
        <w:tc>
          <w:tcPr>
            <w:tcW w:w="1335" w:type="dxa"/>
            <w:noWrap w:val="0"/>
            <w:vAlign w:val="top"/>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2496" w:type="dxa"/>
            <w:gridSpan w:val="2"/>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合</w:t>
            </w:r>
            <w:r>
              <w:rPr>
                <w:rFonts w:hint="eastAsia" w:ascii="仿宋_GB2312" w:hAnsi="仿宋_GB2312" w:eastAsia="仿宋_GB2312" w:cs="仿宋_GB2312"/>
                <w:color w:val="auto"/>
                <w:sz w:val="24"/>
                <w:szCs w:val="24"/>
              </w:rPr>
              <w:t>计</w:t>
            </w:r>
          </w:p>
        </w:tc>
        <w:tc>
          <w:tcPr>
            <w:tcW w:w="6224" w:type="dxa"/>
            <w:gridSpan w:val="5"/>
            <w:noWrap w:val="0"/>
            <w:vAlign w:val="top"/>
          </w:tcPr>
          <w:p>
            <w:pPr>
              <w:rPr>
                <w:rFonts w:hint="eastAsia" w:ascii="仿宋_GB2312" w:hAnsi="仿宋_GB2312" w:eastAsia="仿宋_GB2312" w:cs="仿宋_GB2312"/>
                <w:color w:val="auto"/>
                <w:sz w:val="24"/>
                <w:szCs w:val="24"/>
              </w:rPr>
            </w:pPr>
          </w:p>
        </w:tc>
      </w:tr>
    </w:tbl>
    <w:p>
      <w:pPr>
        <w:pStyle w:val="18"/>
        <w:ind w:leftChars="0" w:firstLine="0"/>
        <w:rPr>
          <w:rFonts w:hint="eastAsia" w:ascii="宋体" w:hAnsi="宋体" w:cs="宋体"/>
          <w:color w:val="auto"/>
          <w:highlight w:val="none"/>
          <w:lang w:val="zh-CN"/>
        </w:rPr>
      </w:pP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投标单位：                        （盖章）</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法人或授权代表人：                （盖章）</w:t>
      </w:r>
    </w:p>
    <w:p>
      <w:pPr>
        <w:ind w:firstLine="6480" w:firstLineChars="27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    月    日</w:t>
      </w:r>
    </w:p>
    <w:p>
      <w:pPr>
        <w:pStyle w:val="18"/>
        <w:ind w:leftChars="0" w:firstLine="0"/>
        <w:rPr>
          <w:rFonts w:hint="eastAsia" w:ascii="宋体" w:hAnsi="宋体" w:eastAsia="宋体" w:cs="宋体"/>
          <w:color w:val="auto"/>
          <w:highlight w:val="none"/>
          <w:lang w:val="zh-CN"/>
        </w:rPr>
      </w:pPr>
    </w:p>
    <w:p>
      <w:pPr>
        <w:pStyle w:val="18"/>
        <w:ind w:leftChars="0" w:firstLine="0"/>
        <w:rPr>
          <w:rFonts w:hint="eastAsia" w:ascii="宋体" w:hAnsi="宋体" w:eastAsia="宋体" w:cs="宋体"/>
          <w:color w:val="auto"/>
          <w:highlight w:val="none"/>
          <w:lang w:val="zh-CN"/>
        </w:rPr>
      </w:pPr>
    </w:p>
    <w:p>
      <w:pPr>
        <w:pStyle w:val="18"/>
        <w:ind w:leftChars="0" w:firstLine="0"/>
        <w:rPr>
          <w:rFonts w:hint="eastAsia" w:ascii="宋体" w:hAnsi="宋体" w:eastAsia="宋体" w:cs="宋体"/>
          <w:color w:val="auto"/>
          <w:highlight w:val="none"/>
          <w:lang w:val="zh-CN"/>
        </w:rPr>
      </w:pPr>
    </w:p>
    <w:p>
      <w:pPr>
        <w:pStyle w:val="18"/>
        <w:ind w:leftChars="0" w:firstLine="0"/>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七、项目响应偏离表</w:t>
      </w:r>
    </w:p>
    <w:tbl>
      <w:tblPr>
        <w:tblStyle w:val="19"/>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844" w:type="dxa"/>
            <w:vAlign w:val="center"/>
          </w:tcPr>
          <w:p>
            <w:pPr>
              <w:tabs>
                <w:tab w:val="left" w:pos="6300"/>
              </w:tabs>
              <w:snapToGrid w:val="0"/>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w:t>
            </w:r>
          </w:p>
        </w:tc>
        <w:tc>
          <w:tcPr>
            <w:tcW w:w="2952" w:type="dxa"/>
            <w:vAlign w:val="center"/>
          </w:tcPr>
          <w:p>
            <w:pPr>
              <w:tabs>
                <w:tab w:val="left" w:pos="6300"/>
              </w:tabs>
              <w:snapToGrid w:val="0"/>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响应情况</w:t>
            </w:r>
          </w:p>
        </w:tc>
        <w:tc>
          <w:tcPr>
            <w:tcW w:w="2212" w:type="dxa"/>
            <w:vAlign w:val="center"/>
          </w:tcPr>
          <w:p>
            <w:pPr>
              <w:tabs>
                <w:tab w:val="left" w:pos="6300"/>
              </w:tabs>
              <w:snapToGrid w:val="0"/>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844"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952"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212" w:type="dxa"/>
            <w:vAlign w:val="center"/>
          </w:tcPr>
          <w:p>
            <w:pPr>
              <w:tabs>
                <w:tab w:val="left" w:pos="6300"/>
              </w:tabs>
              <w:snapToGrid w:val="0"/>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844"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952"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212" w:type="dxa"/>
            <w:vAlign w:val="center"/>
          </w:tcPr>
          <w:p>
            <w:pPr>
              <w:tabs>
                <w:tab w:val="left" w:pos="6300"/>
              </w:tabs>
              <w:snapToGrid w:val="0"/>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844"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952"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212" w:type="dxa"/>
            <w:vAlign w:val="center"/>
          </w:tcPr>
          <w:p>
            <w:pPr>
              <w:tabs>
                <w:tab w:val="left" w:pos="6300"/>
              </w:tabs>
              <w:snapToGrid w:val="0"/>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844"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952"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212" w:type="dxa"/>
            <w:vAlign w:val="center"/>
          </w:tcPr>
          <w:p>
            <w:pPr>
              <w:tabs>
                <w:tab w:val="left" w:pos="6300"/>
              </w:tabs>
              <w:snapToGrid w:val="0"/>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844"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952"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212" w:type="dxa"/>
            <w:vAlign w:val="center"/>
          </w:tcPr>
          <w:p>
            <w:pPr>
              <w:tabs>
                <w:tab w:val="left" w:pos="6300"/>
              </w:tabs>
              <w:snapToGrid w:val="0"/>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844"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952" w:type="dxa"/>
            <w:vAlign w:val="center"/>
          </w:tcPr>
          <w:p>
            <w:pPr>
              <w:tabs>
                <w:tab w:val="left" w:pos="6300"/>
              </w:tabs>
              <w:snapToGrid w:val="0"/>
              <w:jc w:val="center"/>
              <w:outlineLvl w:val="0"/>
              <w:rPr>
                <w:rFonts w:hint="eastAsia" w:ascii="宋体" w:hAnsi="宋体" w:eastAsia="宋体" w:cs="宋体"/>
                <w:color w:val="auto"/>
                <w:szCs w:val="21"/>
                <w:highlight w:val="none"/>
              </w:rPr>
            </w:pPr>
          </w:p>
        </w:tc>
        <w:tc>
          <w:tcPr>
            <w:tcW w:w="2212" w:type="dxa"/>
            <w:vAlign w:val="center"/>
          </w:tcPr>
          <w:p>
            <w:pPr>
              <w:tabs>
                <w:tab w:val="left" w:pos="6300"/>
              </w:tabs>
              <w:snapToGrid w:val="0"/>
              <w:jc w:val="center"/>
              <w:outlineLvl w:val="0"/>
              <w:rPr>
                <w:rFonts w:hint="eastAsia" w:ascii="宋体" w:hAnsi="宋体" w:eastAsia="宋体" w:cs="宋体"/>
                <w:color w:val="auto"/>
                <w:szCs w:val="21"/>
                <w:highlight w:val="none"/>
              </w:rPr>
            </w:pPr>
          </w:p>
        </w:tc>
      </w:tr>
    </w:tbl>
    <w:p>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3"/>
        <w:spacing w:beforeLines="0" w:afterLines="0" w:line="360" w:lineRule="auto"/>
        <w:ind w:left="420" w:leftChars="200"/>
        <w:jc w:val="both"/>
        <w:rPr>
          <w:rFonts w:hint="eastAsia" w:ascii="宋体" w:hAnsi="宋体" w:eastAsia="宋体" w:cs="宋体"/>
          <w:color w:val="auto"/>
          <w:sz w:val="24"/>
          <w:szCs w:val="24"/>
          <w:highlight w:val="none"/>
        </w:rPr>
      </w:pPr>
      <w:bookmarkStart w:id="64" w:name="_Toc89868493"/>
      <w:r>
        <w:rPr>
          <w:rFonts w:hint="eastAsia" w:ascii="宋体" w:hAnsi="宋体" w:eastAsia="宋体" w:cs="宋体"/>
          <w:color w:val="auto"/>
          <w:sz w:val="24"/>
          <w:szCs w:val="24"/>
          <w:highlight w:val="none"/>
        </w:rPr>
        <w:t xml:space="preserve">1、本表即为对本项目“第二篇 </w:t>
      </w:r>
      <w:r>
        <w:rPr>
          <w:rFonts w:hint="eastAsia" w:ascii="宋体" w:hAnsi="宋体" w:eastAsia="宋体" w:cs="宋体"/>
          <w:color w:val="auto"/>
          <w:sz w:val="24"/>
          <w:szCs w:val="24"/>
          <w:highlight w:val="none"/>
          <w:lang w:eastAsia="zh-CN"/>
        </w:rPr>
        <w:t>、第三篇</w:t>
      </w:r>
      <w:r>
        <w:rPr>
          <w:rFonts w:hint="eastAsia" w:ascii="宋体" w:hAnsi="宋体" w:eastAsia="宋体" w:cs="宋体"/>
          <w:color w:val="auto"/>
          <w:sz w:val="24"/>
          <w:szCs w:val="24"/>
          <w:highlight w:val="none"/>
        </w:rPr>
        <w:t>”中所列要求</w:t>
      </w:r>
      <w:r>
        <w:rPr>
          <w:rFonts w:hint="eastAsia" w:ascii="宋体" w:hAnsi="宋体" w:eastAsia="宋体" w:cs="宋体"/>
          <w:color w:val="auto"/>
          <w:sz w:val="24"/>
          <w:szCs w:val="24"/>
          <w:highlight w:val="none"/>
          <w:lang w:eastAsia="zh-CN"/>
        </w:rPr>
        <w:t>逐一</w:t>
      </w:r>
      <w:r>
        <w:rPr>
          <w:rFonts w:hint="eastAsia" w:ascii="宋体" w:hAnsi="宋体" w:eastAsia="宋体" w:cs="宋体"/>
          <w:color w:val="auto"/>
          <w:sz w:val="24"/>
          <w:szCs w:val="24"/>
          <w:highlight w:val="none"/>
        </w:rPr>
        <w:t>进行比较和响应</w:t>
      </w:r>
      <w:r>
        <w:rPr>
          <w:rFonts w:hint="eastAsia" w:ascii="宋体" w:hAnsi="宋体" w:eastAsia="宋体" w:cs="宋体"/>
          <w:color w:val="auto"/>
          <w:sz w:val="24"/>
          <w:szCs w:val="24"/>
          <w:highlight w:val="none"/>
          <w:lang w:eastAsia="zh-CN"/>
        </w:rPr>
        <w:t>，可具体分为项目服务要求响应偏离表，项目商务要求偏离表</w:t>
      </w:r>
      <w:r>
        <w:rPr>
          <w:rFonts w:hint="eastAsia" w:ascii="宋体" w:hAnsi="宋体" w:eastAsia="宋体" w:cs="宋体"/>
          <w:color w:val="auto"/>
          <w:sz w:val="24"/>
          <w:szCs w:val="24"/>
          <w:highlight w:val="none"/>
        </w:rPr>
        <w:t>；</w:t>
      </w:r>
      <w:bookmarkEnd w:id="64"/>
    </w:p>
    <w:p>
      <w:pPr>
        <w:pStyle w:val="3"/>
        <w:spacing w:beforeLines="0" w:afterLines="0" w:line="360" w:lineRule="auto"/>
        <w:ind w:left="420" w:leftChars="200"/>
        <w:jc w:val="both"/>
        <w:rPr>
          <w:rFonts w:hint="eastAsia" w:ascii="宋体" w:hAnsi="宋体" w:eastAsia="宋体" w:cs="宋体"/>
          <w:color w:val="auto"/>
          <w:sz w:val="24"/>
          <w:szCs w:val="24"/>
          <w:highlight w:val="none"/>
        </w:rPr>
      </w:pPr>
      <w:bookmarkStart w:id="65" w:name="_Toc89868494"/>
      <w:r>
        <w:rPr>
          <w:rFonts w:hint="eastAsia" w:ascii="宋体" w:hAnsi="宋体" w:eastAsia="宋体" w:cs="宋体"/>
          <w:color w:val="auto"/>
          <w:sz w:val="24"/>
          <w:szCs w:val="24"/>
          <w:highlight w:val="none"/>
        </w:rPr>
        <w:t>2、该表必须按照</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采购要求逐条如实填写，根据响应情况在“差异说明”项填写正偏离</w:t>
      </w:r>
      <w:r>
        <w:rPr>
          <w:rFonts w:hint="eastAsia" w:ascii="宋体" w:hAnsi="宋体" w:eastAsia="宋体" w:cs="宋体"/>
          <w:color w:val="auto"/>
          <w:sz w:val="24"/>
          <w:szCs w:val="24"/>
          <w:highlight w:val="none"/>
          <w:lang w:eastAsia="zh-CN"/>
        </w:rPr>
        <w:t>、负偏离</w:t>
      </w:r>
      <w:r>
        <w:rPr>
          <w:rFonts w:hint="eastAsia" w:ascii="宋体" w:hAnsi="宋体" w:eastAsia="宋体" w:cs="宋体"/>
          <w:color w:val="auto"/>
          <w:sz w:val="24"/>
          <w:szCs w:val="24"/>
          <w:highlight w:val="none"/>
        </w:rPr>
        <w:t>及原因，完全符合的填写“无差异”；</w:t>
      </w:r>
      <w:bookmarkEnd w:id="65"/>
    </w:p>
    <w:p>
      <w:pPr>
        <w:pStyle w:val="3"/>
        <w:spacing w:beforeLines="0" w:afterLines="0" w:line="360" w:lineRule="auto"/>
        <w:ind w:left="420" w:leftChars="200"/>
        <w:jc w:val="both"/>
        <w:rPr>
          <w:rFonts w:hint="eastAsia" w:ascii="宋体" w:hAnsi="宋体" w:eastAsia="宋体" w:cs="宋体"/>
          <w:color w:val="auto"/>
          <w:sz w:val="24"/>
          <w:szCs w:val="24"/>
          <w:highlight w:val="none"/>
        </w:rPr>
      </w:pPr>
      <w:bookmarkStart w:id="66" w:name="_Toc89868495"/>
      <w:r>
        <w:rPr>
          <w:rFonts w:hint="eastAsia" w:ascii="宋体" w:hAnsi="宋体" w:eastAsia="宋体" w:cs="宋体"/>
          <w:color w:val="auto"/>
          <w:sz w:val="24"/>
          <w:szCs w:val="24"/>
          <w:highlight w:val="none"/>
        </w:rPr>
        <w:t>3、该表可扩展，并逐页签字或盖章；</w:t>
      </w:r>
      <w:bookmarkEnd w:id="66"/>
    </w:p>
    <w:p>
      <w:pPr>
        <w:pStyle w:val="3"/>
        <w:spacing w:beforeLines="0" w:afterLines="0" w:line="360" w:lineRule="auto"/>
        <w:ind w:left="420" w:leftChars="200"/>
        <w:jc w:val="both"/>
        <w:rPr>
          <w:rFonts w:hint="eastAsia" w:ascii="宋体" w:hAnsi="宋体" w:eastAsia="宋体" w:cs="宋体"/>
          <w:color w:val="auto"/>
          <w:sz w:val="24"/>
          <w:szCs w:val="24"/>
          <w:highlight w:val="none"/>
        </w:rPr>
      </w:pPr>
      <w:bookmarkStart w:id="67" w:name="_Toc89868496"/>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可</w:t>
      </w:r>
      <w:r>
        <w:rPr>
          <w:rFonts w:hint="eastAsia" w:ascii="宋体" w:hAnsi="宋体" w:eastAsia="宋体" w:cs="宋体"/>
          <w:color w:val="auto"/>
          <w:sz w:val="24"/>
          <w:szCs w:val="24"/>
          <w:highlight w:val="none"/>
        </w:rPr>
        <w:t>附相关技术支撑材料（格式自定）；</w:t>
      </w:r>
      <w:bookmarkEnd w:id="67"/>
    </w:p>
    <w:p>
      <w:pPr>
        <w:pStyle w:val="3"/>
        <w:spacing w:beforeLines="0" w:afterLines="0" w:line="360" w:lineRule="auto"/>
        <w:ind w:left="420" w:leftChars="200"/>
        <w:jc w:val="both"/>
        <w:rPr>
          <w:rFonts w:hint="eastAsia" w:ascii="宋体" w:hAnsi="宋体" w:eastAsia="宋体" w:cs="宋体"/>
          <w:color w:val="auto"/>
          <w:sz w:val="24"/>
          <w:szCs w:val="24"/>
          <w:highlight w:val="none"/>
        </w:rPr>
      </w:pPr>
      <w:bookmarkStart w:id="68" w:name="_Toc89868497"/>
      <w:r>
        <w:rPr>
          <w:rFonts w:hint="eastAsia" w:ascii="宋体" w:hAnsi="宋体" w:eastAsia="宋体" w:cs="宋体"/>
          <w:color w:val="auto"/>
          <w:sz w:val="24"/>
          <w:szCs w:val="24"/>
          <w:highlight w:val="none"/>
        </w:rPr>
        <w:t>5、若“响应情况”栏中仅填写“无偏离”或“有偏离”等内容而未作实质性参数描述</w:t>
      </w:r>
      <w:r>
        <w:rPr>
          <w:rFonts w:hint="eastAsia" w:ascii="宋体" w:hAnsi="宋体" w:eastAsia="宋体" w:cs="宋体"/>
          <w:color w:val="auto"/>
          <w:sz w:val="24"/>
          <w:szCs w:val="24"/>
          <w:highlight w:val="none"/>
          <w:lang w:eastAsia="zh-CN"/>
        </w:rPr>
        <w:t>或提供支撑证明材料的</w:t>
      </w:r>
      <w:r>
        <w:rPr>
          <w:rFonts w:hint="eastAsia" w:ascii="宋体" w:hAnsi="宋体" w:eastAsia="宋体" w:cs="宋体"/>
          <w:color w:val="auto"/>
          <w:sz w:val="24"/>
          <w:szCs w:val="24"/>
          <w:highlight w:val="none"/>
        </w:rPr>
        <w:t>，该供应商将失去成为成交供应商的资格，仅保留其合格供应商的身份。</w:t>
      </w:r>
      <w:bookmarkEnd w:id="68"/>
    </w:p>
    <w:p>
      <w:pPr>
        <w:autoSpaceDE w:val="0"/>
        <w:autoSpaceDN w:val="0"/>
        <w:adjustRightInd w:val="0"/>
        <w:snapToGrid w:val="0"/>
        <w:spacing w:line="360" w:lineRule="auto"/>
        <w:rPr>
          <w:rFonts w:hint="eastAsia" w:ascii="宋体" w:hAnsi="宋体" w:eastAsia="宋体" w:cs="宋体"/>
          <w:color w:val="auto"/>
          <w:sz w:val="24"/>
          <w:highlight w:val="none"/>
          <w:lang w:val="zh-CN"/>
        </w:rPr>
      </w:pP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投标单位：                        （盖章）</w:t>
      </w:r>
    </w:p>
    <w:p>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法人或授权代表人：                （盖章）</w:t>
      </w:r>
    </w:p>
    <w:p>
      <w:pPr>
        <w:ind w:firstLine="6480" w:firstLineChars="27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    月    日</w:t>
      </w:r>
    </w:p>
    <w:p>
      <w:pPr>
        <w:tabs>
          <w:tab w:val="left" w:pos="6300"/>
        </w:tabs>
        <w:snapToGrid w:val="0"/>
        <w:spacing w:line="500" w:lineRule="exact"/>
        <w:ind w:firstLine="420" w:firstLineChars="200"/>
        <w:rPr>
          <w:rFonts w:hint="eastAsia" w:ascii="微软雅黑" w:hAnsi="微软雅黑" w:eastAsia="微软雅黑"/>
          <w:b/>
          <w:bCs/>
          <w:color w:val="auto"/>
          <w:szCs w:val="21"/>
          <w:highlight w:val="none"/>
          <w:lang w:eastAsia="zh-CN"/>
        </w:rPr>
      </w:pPr>
      <w:r>
        <w:rPr>
          <w:rFonts w:hint="eastAsia" w:ascii="微软雅黑" w:hAnsi="微软雅黑" w:eastAsia="微软雅黑"/>
          <w:b/>
          <w:bCs/>
          <w:color w:val="auto"/>
          <w:szCs w:val="21"/>
          <w:highlight w:val="none"/>
          <w:lang w:eastAsia="zh-CN"/>
        </w:rPr>
        <w:t>八、书面声明</w:t>
      </w:r>
    </w:p>
    <w:p>
      <w:pPr>
        <w:tabs>
          <w:tab w:val="left" w:pos="6300"/>
        </w:tabs>
        <w:snapToGrid w:val="0"/>
        <w:spacing w:line="5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招标项目名称：</w:t>
      </w:r>
    </w:p>
    <w:p>
      <w:pPr>
        <w:tabs>
          <w:tab w:val="left" w:pos="6300"/>
        </w:tabs>
        <w:snapToGrid w:val="0"/>
        <w:spacing w:line="500" w:lineRule="exact"/>
        <w:ind w:firstLine="570"/>
        <w:rPr>
          <w:rFonts w:ascii="微软雅黑" w:hAnsi="微软雅黑" w:eastAsia="微软雅黑"/>
          <w:color w:val="auto"/>
          <w:szCs w:val="21"/>
          <w:highlight w:val="none"/>
        </w:rPr>
      </w:pPr>
    </w:p>
    <w:p>
      <w:pPr>
        <w:tabs>
          <w:tab w:val="left" w:pos="6300"/>
        </w:tabs>
        <w:snapToGrid w:val="0"/>
        <w:spacing w:line="5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color w:val="auto"/>
          <w:szCs w:val="21"/>
          <w:highlight w:val="none"/>
          <w:lang w:eastAsia="zh-CN"/>
        </w:rPr>
        <w:t>重庆医科大学</w:t>
      </w:r>
      <w:r>
        <w:rPr>
          <w:rFonts w:hint="eastAsia" w:ascii="微软雅黑" w:hAnsi="微软雅黑" w:eastAsia="微软雅黑"/>
          <w:color w:val="auto"/>
          <w:szCs w:val="21"/>
          <w:highlight w:val="none"/>
        </w:rPr>
        <w:t>：</w:t>
      </w:r>
    </w:p>
    <w:p>
      <w:pPr>
        <w:tabs>
          <w:tab w:val="left" w:pos="6300"/>
        </w:tabs>
        <w:snapToGrid w:val="0"/>
        <w:spacing w:line="5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特此声明。</w:t>
      </w:r>
    </w:p>
    <w:p>
      <w:pPr>
        <w:tabs>
          <w:tab w:val="left" w:pos="6300"/>
        </w:tabs>
        <w:snapToGrid w:val="0"/>
        <w:spacing w:line="500" w:lineRule="exact"/>
        <w:ind w:firstLine="570"/>
        <w:rPr>
          <w:rFonts w:ascii="微软雅黑" w:hAnsi="微软雅黑" w:eastAsia="微软雅黑"/>
          <w:color w:val="auto"/>
          <w:szCs w:val="21"/>
          <w:highlight w:val="none"/>
        </w:rPr>
      </w:pPr>
    </w:p>
    <w:p>
      <w:pPr>
        <w:tabs>
          <w:tab w:val="left" w:pos="6300"/>
        </w:tabs>
        <w:wordWrap w:val="0"/>
        <w:snapToGrid w:val="0"/>
        <w:spacing w:line="500" w:lineRule="exact"/>
        <w:ind w:right="424" w:firstLine="570"/>
        <w:jc w:val="righ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（供应商公章）       </w:t>
      </w:r>
    </w:p>
    <w:p>
      <w:pPr>
        <w:tabs>
          <w:tab w:val="left" w:pos="6300"/>
        </w:tabs>
        <w:wordWrap w:val="0"/>
        <w:snapToGrid w:val="0"/>
        <w:spacing w:line="500" w:lineRule="exact"/>
        <w:ind w:right="480" w:firstLine="570"/>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年   月   日   </w:t>
      </w:r>
    </w:p>
    <w:p>
      <w:pPr>
        <w:tabs>
          <w:tab w:val="left" w:pos="6300"/>
        </w:tabs>
        <w:wordWrap/>
        <w:snapToGrid w:val="0"/>
        <w:spacing w:line="500" w:lineRule="exact"/>
        <w:ind w:right="480" w:firstLine="57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eastAsia="zh-CN"/>
        </w:rPr>
        <w:t>附两个网站查询情况截图</w:t>
      </w:r>
      <w:r>
        <w:rPr>
          <w:rFonts w:hint="eastAsia" w:ascii="微软雅黑" w:hAnsi="微软雅黑" w:eastAsia="微软雅黑"/>
          <w:color w:val="auto"/>
          <w:szCs w:val="21"/>
          <w:highlight w:val="none"/>
        </w:rPr>
        <w:t xml:space="preserve">    </w:t>
      </w: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b/>
          <w:bCs/>
          <w:color w:val="auto"/>
          <w:sz w:val="24"/>
          <w:highlight w:val="none"/>
        </w:rPr>
      </w:pPr>
    </w:p>
    <w:p>
      <w:pPr>
        <w:tabs>
          <w:tab w:val="left" w:pos="6300"/>
        </w:tabs>
        <w:snapToGrid w:val="0"/>
        <w:spacing w:line="500" w:lineRule="exact"/>
        <w:ind w:firstLine="560"/>
        <w:rPr>
          <w:rFonts w:ascii="微软雅黑" w:hAnsi="微软雅黑" w:eastAsia="微软雅黑"/>
          <w:b/>
          <w:bCs/>
          <w:color w:val="auto"/>
          <w:szCs w:val="21"/>
          <w:highlight w:val="none"/>
        </w:rPr>
      </w:pPr>
      <w:r>
        <w:rPr>
          <w:rFonts w:hint="eastAsia" w:ascii="宋体" w:hAnsi="宋体" w:cs="宋体"/>
          <w:b/>
          <w:bCs/>
          <w:color w:val="auto"/>
          <w:sz w:val="24"/>
          <w:highlight w:val="none"/>
          <w:lang w:eastAsia="zh-CN"/>
        </w:rPr>
        <w:t>九、</w:t>
      </w:r>
      <w:r>
        <w:rPr>
          <w:rFonts w:hint="eastAsia" w:ascii="微软雅黑" w:hAnsi="微软雅黑" w:eastAsia="微软雅黑"/>
          <w:b/>
          <w:bCs/>
          <w:color w:val="auto"/>
          <w:szCs w:val="21"/>
          <w:highlight w:val="none"/>
        </w:rPr>
        <w:t>.缴纳社会保障金的证明材料复印件</w:t>
      </w:r>
    </w:p>
    <w:p>
      <w:pPr>
        <w:tabs>
          <w:tab w:val="left" w:pos="6300"/>
        </w:tabs>
        <w:snapToGrid w:val="0"/>
        <w:spacing w:line="5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rPr>
          <w:rFonts w:ascii="微软雅黑" w:hAnsi="微软雅黑" w:eastAsia="微软雅黑"/>
          <w:color w:val="auto"/>
          <w:szCs w:val="21"/>
          <w:highlight w:val="none"/>
        </w:rPr>
      </w:pPr>
    </w:p>
    <w:p>
      <w:pPr>
        <w:tabs>
          <w:tab w:val="left" w:pos="6300"/>
        </w:tabs>
        <w:snapToGrid w:val="0"/>
        <w:spacing w:line="5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说明：供应商按“多证合一”登记制度办理营业执照的，</w:t>
      </w:r>
      <w:r>
        <w:rPr>
          <w:rFonts w:hint="eastAsia" w:ascii="微软雅黑" w:hAnsi="微软雅黑" w:eastAsia="微软雅黑"/>
          <w:color w:val="auto"/>
          <w:kern w:val="0"/>
          <w:szCs w:val="21"/>
          <w:highlight w:val="none"/>
        </w:rPr>
        <w:t>税务登记证（副本）和社会保险登记证</w:t>
      </w:r>
      <w:r>
        <w:rPr>
          <w:rFonts w:hint="eastAsia" w:ascii="微软雅黑" w:hAnsi="微软雅黑" w:eastAsia="微软雅黑"/>
          <w:color w:val="auto"/>
          <w:szCs w:val="21"/>
          <w:highlight w:val="none"/>
        </w:rPr>
        <w:t>以供应商所提供的营业执照（副本）复印件为准。</w:t>
      </w:r>
    </w:p>
    <w:p>
      <w:pPr>
        <w:adjustRightInd w:val="0"/>
        <w:snapToGrid w:val="0"/>
        <w:spacing w:line="360" w:lineRule="auto"/>
        <w:rPr>
          <w:rFonts w:hint="eastAsia" w:ascii="宋体" w:hAnsi="宋体" w:eastAsia="宋体" w:cs="宋体"/>
          <w:b/>
          <w:bCs/>
          <w:color w:val="auto"/>
          <w:sz w:val="24"/>
          <w:highlight w:val="none"/>
        </w:rPr>
      </w:pPr>
    </w:p>
    <w:p>
      <w:pPr>
        <w:adjustRightInd w:val="0"/>
        <w:snapToGrid w:val="0"/>
        <w:spacing w:line="360" w:lineRule="auto"/>
        <w:ind w:firstLine="482" w:firstLineChars="200"/>
        <w:jc w:val="left"/>
        <w:rPr>
          <w:rFonts w:hint="eastAsia" w:ascii="宋体" w:hAnsi="宋体" w:cs="宋体"/>
          <w:b/>
          <w:bCs/>
          <w:color w:val="auto"/>
          <w:sz w:val="24"/>
          <w:highlight w:val="none"/>
          <w:lang w:eastAsia="zh-CN"/>
        </w:rPr>
      </w:pPr>
    </w:p>
    <w:p>
      <w:pPr>
        <w:adjustRightInd w:val="0"/>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eastAsia="宋体" w:cs="宋体"/>
          <w:b/>
          <w:bCs/>
          <w:color w:val="auto"/>
          <w:sz w:val="24"/>
          <w:highlight w:val="none"/>
        </w:rPr>
        <w:t>、《 廉政承诺书 》</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根据国家廉政建设的有关规定，为了做好工程建设中的党风廉政建设，保证项目高效优质，保证项目资金的安全和有效使用以及投资效益，我公司做如下廉政承诺。</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一、严格遵守和教育工程项目人员遵守党和国家有关法律法规的有关规定。</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二、严格执行重庆医科大学</w:t>
      </w:r>
      <w:r>
        <w:rPr>
          <w:rFonts w:hint="eastAsia" w:ascii="宋体" w:hAnsi="宋体" w:cs="宋体"/>
          <w:color w:val="auto"/>
          <w:sz w:val="24"/>
          <w:highlight w:val="none"/>
          <w:lang w:eastAsia="zh-CN"/>
        </w:rPr>
        <w:t>采购项目</w:t>
      </w:r>
      <w:r>
        <w:rPr>
          <w:rFonts w:hint="eastAsia" w:ascii="宋体" w:hAnsi="宋体" w:eastAsia="宋体" w:cs="宋体"/>
          <w:color w:val="auto"/>
          <w:sz w:val="24"/>
          <w:highlight w:val="none"/>
        </w:rPr>
        <w:t>的合同文件，自觉按合同办事。</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三、坚持公开、公正、诚信、透明的原则（除法律认定的商业秘密和合同文件另有规定之外），不得损害国家和集体利益，违反建设管理规章制度。</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四、建立健全廉政制度，开展廉政教育，设立廉政告示牌，公布举报电话，监督并认真查处违法违纪行为。</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五、在业务活动中如有违反廉政规定的行为，给予及时纠正。 </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六、如有违反</w:t>
      </w:r>
      <w:r>
        <w:rPr>
          <w:rFonts w:hint="eastAsia" w:ascii="宋体" w:hAnsi="宋体" w:cs="宋体"/>
          <w:color w:val="auto"/>
          <w:sz w:val="24"/>
          <w:highlight w:val="none"/>
          <w:lang w:eastAsia="zh-CN"/>
        </w:rPr>
        <w:t>项目要求的</w:t>
      </w:r>
      <w:r>
        <w:rPr>
          <w:rFonts w:hint="eastAsia" w:ascii="宋体" w:hAnsi="宋体" w:eastAsia="宋体" w:cs="宋体"/>
          <w:color w:val="auto"/>
          <w:sz w:val="24"/>
          <w:highlight w:val="none"/>
        </w:rPr>
        <w:t>的行为，将接受有关部门处理。</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七、不得以任何理由向采购人、监理人及其他代表采购人行使权利的单位行贿或赠礼金、有价证券、礼品。</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八、不得以任何名义为采购人、监理人及其他代表采购人行使权利的单位报销应由其单位或个人支付的任何费用。</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九、不得以任何理由安排采购人、监理人及其他代表采购人行使权利单位的工作人员参加宴请及娱乐活动。</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十、不得为采购人、监理人及其他代表采购人行使权利单位购置或提供通讯工具、交通工具和高档办公用品等。</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十一、违纪违法责任</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凡违反上述规定的，依据有关规定给予党纪、政纪或组织处理；给采购人造成损失的，应予以赔偿，并按规定给予每次扣合同总额的5%处罚。</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十二、有效期为招投标活动开始之日起至该项目竣工验收后止。由于行贿受贿案发有延后性，保留追述责任时效。</w:t>
      </w:r>
    </w:p>
    <w:p>
      <w:pPr>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十三、本承诺作为</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 xml:space="preserve">附件，具有法律效力。    </w:t>
      </w: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承诺方：   （单位公章）</w:t>
      </w:r>
    </w:p>
    <w:p>
      <w:pPr>
        <w:spacing w:line="520" w:lineRule="exact"/>
        <w:ind w:firstLine="480"/>
        <w:jc w:val="righ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年   月   日</w:t>
      </w:r>
    </w:p>
    <w:sectPr>
      <w:headerReference r:id="rId3" w:type="default"/>
      <w:footerReference r:id="rId5" w:type="default"/>
      <w:head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869DCB7-B8DD-415A-A1F9-97D5E83E4872}"/>
  </w:font>
  <w:font w:name="仿宋_GB2312">
    <w:panose1 w:val="02010609030101010101"/>
    <w:charset w:val="86"/>
    <w:family w:val="modern"/>
    <w:pitch w:val="default"/>
    <w:sig w:usb0="00000001" w:usb1="080E0000" w:usb2="00000000" w:usb3="00000000" w:csb0="00040000" w:csb1="00000000"/>
    <w:embedRegular r:id="rId2" w:fontKey="{FEF37085-4566-4C4B-A306-5DA8288EB9F9}"/>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D46CE535-C40B-4283-ACC2-FFDF3F6384A3}"/>
  </w:font>
  <w:font w:name="微软雅黑">
    <w:panose1 w:val="020B0503020204020204"/>
    <w:charset w:val="86"/>
    <w:family w:val="swiss"/>
    <w:pitch w:val="default"/>
    <w:sig w:usb0="80000287" w:usb1="280F3C52" w:usb2="00000016" w:usb3="00000000" w:csb0="0004001F" w:csb1="00000000"/>
    <w:embedRegular r:id="rId4" w:fontKey="{DEC2CCD6-5256-4EAB-8FC2-0E9CBC1056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O3qrfSAAAABAEAAA8AAAAAAAAAAQAgAAAAIgAAAGRycy9kb3ducmV2LnhtbFBL&#10;AQIUABQAAAAIAIdO4kCRft3G/AEAAAQEAAAOAAAAAAAAAAEAIAAAACEBAABkcnMvZTJvRG9jLnht&#10;bFBLBQYAAAAABgAGAFkBAACP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45465"/>
    <w:multiLevelType w:val="singleLevel"/>
    <w:tmpl w:val="DF845465"/>
    <w:lvl w:ilvl="0" w:tentative="0">
      <w:start w:val="2"/>
      <w:numFmt w:val="chineseCounting"/>
      <w:suff w:val="nothing"/>
      <w:lvlText w:val="%1、"/>
      <w:lvlJc w:val="left"/>
      <w:rPr>
        <w:rFonts w:hint="eastAsia"/>
      </w:rPr>
    </w:lvl>
  </w:abstractNum>
  <w:abstractNum w:abstractNumId="1">
    <w:nsid w:val="0000000B"/>
    <w:multiLevelType w:val="multilevel"/>
    <w:tmpl w:val="0000000B"/>
    <w:lvl w:ilvl="0" w:tentative="0">
      <w:start w:val="1"/>
      <w:numFmt w:val="japaneseCounting"/>
      <w:lvlText w:val="%1、"/>
      <w:lvlJc w:val="left"/>
      <w:pPr>
        <w:tabs>
          <w:tab w:val="left" w:pos="570"/>
        </w:tabs>
        <w:ind w:left="570" w:hanging="57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F47B110"/>
    <w:multiLevelType w:val="singleLevel"/>
    <w:tmpl w:val="5F47B110"/>
    <w:lvl w:ilvl="0" w:tentative="0">
      <w:start w:val="6"/>
      <w:numFmt w:val="chineseCounting"/>
      <w:suff w:val="nothing"/>
      <w:lvlText w:val="%1、"/>
      <w:lvlJc w:val="left"/>
      <w:rPr>
        <w:rFonts w:hint="eastAsia"/>
      </w:r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c5MTgwYTcxOWRhMTgyYjcyMzJhOWU0OGM3NDcifQ=="/>
  </w:docVars>
  <w:rsids>
    <w:rsidRoot w:val="00172A27"/>
    <w:rsid w:val="000060E3"/>
    <w:rsid w:val="00027260"/>
    <w:rsid w:val="000411A7"/>
    <w:rsid w:val="00042AFE"/>
    <w:rsid w:val="00043795"/>
    <w:rsid w:val="00050165"/>
    <w:rsid w:val="0005644E"/>
    <w:rsid w:val="00064E83"/>
    <w:rsid w:val="0006604E"/>
    <w:rsid w:val="00067996"/>
    <w:rsid w:val="000770EA"/>
    <w:rsid w:val="00083674"/>
    <w:rsid w:val="00084113"/>
    <w:rsid w:val="000962F5"/>
    <w:rsid w:val="000A3D3D"/>
    <w:rsid w:val="000A617B"/>
    <w:rsid w:val="000B79F8"/>
    <w:rsid w:val="000C0498"/>
    <w:rsid w:val="000C742B"/>
    <w:rsid w:val="000D62F2"/>
    <w:rsid w:val="000F05FF"/>
    <w:rsid w:val="00114AE1"/>
    <w:rsid w:val="00115F2A"/>
    <w:rsid w:val="00117992"/>
    <w:rsid w:val="00123F69"/>
    <w:rsid w:val="0012482D"/>
    <w:rsid w:val="00132872"/>
    <w:rsid w:val="00133B35"/>
    <w:rsid w:val="00155ED9"/>
    <w:rsid w:val="00160595"/>
    <w:rsid w:val="0016445D"/>
    <w:rsid w:val="00166D7B"/>
    <w:rsid w:val="00172A27"/>
    <w:rsid w:val="00177A9F"/>
    <w:rsid w:val="001816F0"/>
    <w:rsid w:val="00185CE9"/>
    <w:rsid w:val="0019679B"/>
    <w:rsid w:val="00196EC3"/>
    <w:rsid w:val="00197386"/>
    <w:rsid w:val="001A4C3C"/>
    <w:rsid w:val="001B7877"/>
    <w:rsid w:val="001C04B3"/>
    <w:rsid w:val="001C3288"/>
    <w:rsid w:val="001D16F6"/>
    <w:rsid w:val="001D5AA8"/>
    <w:rsid w:val="001E2D8E"/>
    <w:rsid w:val="001E4AF0"/>
    <w:rsid w:val="001E5C54"/>
    <w:rsid w:val="001F12C5"/>
    <w:rsid w:val="001F1447"/>
    <w:rsid w:val="00211CCF"/>
    <w:rsid w:val="0021690C"/>
    <w:rsid w:val="00217AF8"/>
    <w:rsid w:val="00225EF3"/>
    <w:rsid w:val="00234342"/>
    <w:rsid w:val="00234726"/>
    <w:rsid w:val="0023641D"/>
    <w:rsid w:val="00240A00"/>
    <w:rsid w:val="002519F6"/>
    <w:rsid w:val="00251F4E"/>
    <w:rsid w:val="00261592"/>
    <w:rsid w:val="00277688"/>
    <w:rsid w:val="002811DA"/>
    <w:rsid w:val="00281A0F"/>
    <w:rsid w:val="0028225B"/>
    <w:rsid w:val="00283158"/>
    <w:rsid w:val="00287904"/>
    <w:rsid w:val="00290C26"/>
    <w:rsid w:val="00296696"/>
    <w:rsid w:val="00297E7B"/>
    <w:rsid w:val="002A09E8"/>
    <w:rsid w:val="002A7B45"/>
    <w:rsid w:val="002B36CF"/>
    <w:rsid w:val="002D4D49"/>
    <w:rsid w:val="002E2363"/>
    <w:rsid w:val="002E386E"/>
    <w:rsid w:val="002E44F9"/>
    <w:rsid w:val="002E4829"/>
    <w:rsid w:val="002E77EF"/>
    <w:rsid w:val="00300839"/>
    <w:rsid w:val="00302B72"/>
    <w:rsid w:val="00304F17"/>
    <w:rsid w:val="003056E1"/>
    <w:rsid w:val="00313F28"/>
    <w:rsid w:val="00317722"/>
    <w:rsid w:val="00320E32"/>
    <w:rsid w:val="003312BE"/>
    <w:rsid w:val="00332845"/>
    <w:rsid w:val="003330B3"/>
    <w:rsid w:val="00333AE4"/>
    <w:rsid w:val="00362351"/>
    <w:rsid w:val="00364B9F"/>
    <w:rsid w:val="00366647"/>
    <w:rsid w:val="0037200C"/>
    <w:rsid w:val="00373BC4"/>
    <w:rsid w:val="00375561"/>
    <w:rsid w:val="00375BA4"/>
    <w:rsid w:val="00385470"/>
    <w:rsid w:val="00386F3E"/>
    <w:rsid w:val="00390FE2"/>
    <w:rsid w:val="00395047"/>
    <w:rsid w:val="0039607E"/>
    <w:rsid w:val="003A122C"/>
    <w:rsid w:val="003A5B94"/>
    <w:rsid w:val="003B7D35"/>
    <w:rsid w:val="003B7FC4"/>
    <w:rsid w:val="003C3713"/>
    <w:rsid w:val="003D73EF"/>
    <w:rsid w:val="003E0F9B"/>
    <w:rsid w:val="003E232B"/>
    <w:rsid w:val="003E2A4B"/>
    <w:rsid w:val="003F08F5"/>
    <w:rsid w:val="003F2BB7"/>
    <w:rsid w:val="0041425A"/>
    <w:rsid w:val="004215B6"/>
    <w:rsid w:val="00421A86"/>
    <w:rsid w:val="004313F0"/>
    <w:rsid w:val="0043223F"/>
    <w:rsid w:val="00432B5B"/>
    <w:rsid w:val="00432F9B"/>
    <w:rsid w:val="0043360E"/>
    <w:rsid w:val="00435998"/>
    <w:rsid w:val="00463462"/>
    <w:rsid w:val="00463D98"/>
    <w:rsid w:val="00474571"/>
    <w:rsid w:val="004922E6"/>
    <w:rsid w:val="004929AD"/>
    <w:rsid w:val="0049505E"/>
    <w:rsid w:val="004A6A0F"/>
    <w:rsid w:val="004B27BE"/>
    <w:rsid w:val="004B763D"/>
    <w:rsid w:val="004C12CF"/>
    <w:rsid w:val="004C1BC3"/>
    <w:rsid w:val="004C5C44"/>
    <w:rsid w:val="004C7E82"/>
    <w:rsid w:val="004D1593"/>
    <w:rsid w:val="004D4EA7"/>
    <w:rsid w:val="004F21FD"/>
    <w:rsid w:val="004F2381"/>
    <w:rsid w:val="004F5271"/>
    <w:rsid w:val="004F620C"/>
    <w:rsid w:val="005066A8"/>
    <w:rsid w:val="00506784"/>
    <w:rsid w:val="00506F5A"/>
    <w:rsid w:val="00507B53"/>
    <w:rsid w:val="005134DF"/>
    <w:rsid w:val="00514E0A"/>
    <w:rsid w:val="005158F8"/>
    <w:rsid w:val="00516F43"/>
    <w:rsid w:val="005209CD"/>
    <w:rsid w:val="005246E4"/>
    <w:rsid w:val="00531F83"/>
    <w:rsid w:val="00535E17"/>
    <w:rsid w:val="005616CA"/>
    <w:rsid w:val="00562949"/>
    <w:rsid w:val="005637B0"/>
    <w:rsid w:val="00575D1C"/>
    <w:rsid w:val="00582077"/>
    <w:rsid w:val="00593158"/>
    <w:rsid w:val="005A43E0"/>
    <w:rsid w:val="005C078A"/>
    <w:rsid w:val="005D0AC7"/>
    <w:rsid w:val="005F7E28"/>
    <w:rsid w:val="006008AD"/>
    <w:rsid w:val="00601461"/>
    <w:rsid w:val="00610394"/>
    <w:rsid w:val="00621821"/>
    <w:rsid w:val="006371F3"/>
    <w:rsid w:val="006425AD"/>
    <w:rsid w:val="00651529"/>
    <w:rsid w:val="006555D6"/>
    <w:rsid w:val="006616CC"/>
    <w:rsid w:val="00661E74"/>
    <w:rsid w:val="00663347"/>
    <w:rsid w:val="00680515"/>
    <w:rsid w:val="00691F61"/>
    <w:rsid w:val="00693136"/>
    <w:rsid w:val="006A656A"/>
    <w:rsid w:val="006C510B"/>
    <w:rsid w:val="006E33F0"/>
    <w:rsid w:val="006E5F5B"/>
    <w:rsid w:val="006F1EA1"/>
    <w:rsid w:val="0070607E"/>
    <w:rsid w:val="00707F33"/>
    <w:rsid w:val="00713516"/>
    <w:rsid w:val="0072448E"/>
    <w:rsid w:val="00726460"/>
    <w:rsid w:val="00744652"/>
    <w:rsid w:val="00750623"/>
    <w:rsid w:val="007551BC"/>
    <w:rsid w:val="007647DB"/>
    <w:rsid w:val="007753CE"/>
    <w:rsid w:val="00776F33"/>
    <w:rsid w:val="007775A5"/>
    <w:rsid w:val="0078663E"/>
    <w:rsid w:val="00795604"/>
    <w:rsid w:val="007A38CD"/>
    <w:rsid w:val="007C039A"/>
    <w:rsid w:val="007E4B51"/>
    <w:rsid w:val="007E5F90"/>
    <w:rsid w:val="007F761A"/>
    <w:rsid w:val="00805207"/>
    <w:rsid w:val="00812A54"/>
    <w:rsid w:val="00817B66"/>
    <w:rsid w:val="00823300"/>
    <w:rsid w:val="008361C3"/>
    <w:rsid w:val="0084395D"/>
    <w:rsid w:val="0084475F"/>
    <w:rsid w:val="00845A49"/>
    <w:rsid w:val="008463C7"/>
    <w:rsid w:val="00856BF1"/>
    <w:rsid w:val="008643C7"/>
    <w:rsid w:val="00870BBA"/>
    <w:rsid w:val="00876595"/>
    <w:rsid w:val="00891C6B"/>
    <w:rsid w:val="008939A5"/>
    <w:rsid w:val="008A0B26"/>
    <w:rsid w:val="008A4D9E"/>
    <w:rsid w:val="008B3BA6"/>
    <w:rsid w:val="008C16F9"/>
    <w:rsid w:val="008D7096"/>
    <w:rsid w:val="008E692A"/>
    <w:rsid w:val="008F310E"/>
    <w:rsid w:val="008F6E3D"/>
    <w:rsid w:val="00916864"/>
    <w:rsid w:val="00935347"/>
    <w:rsid w:val="00940A80"/>
    <w:rsid w:val="00942F99"/>
    <w:rsid w:val="0094400F"/>
    <w:rsid w:val="009607E6"/>
    <w:rsid w:val="00977867"/>
    <w:rsid w:val="00990136"/>
    <w:rsid w:val="00994747"/>
    <w:rsid w:val="00997296"/>
    <w:rsid w:val="009A3474"/>
    <w:rsid w:val="009B4215"/>
    <w:rsid w:val="009B6378"/>
    <w:rsid w:val="009C1B5C"/>
    <w:rsid w:val="009D1EF3"/>
    <w:rsid w:val="00A00094"/>
    <w:rsid w:val="00A005A6"/>
    <w:rsid w:val="00A02905"/>
    <w:rsid w:val="00A20590"/>
    <w:rsid w:val="00A30719"/>
    <w:rsid w:val="00A36FFA"/>
    <w:rsid w:val="00A43043"/>
    <w:rsid w:val="00A50CC7"/>
    <w:rsid w:val="00A55581"/>
    <w:rsid w:val="00A55C6A"/>
    <w:rsid w:val="00A5753F"/>
    <w:rsid w:val="00A6476E"/>
    <w:rsid w:val="00A87046"/>
    <w:rsid w:val="00A958EE"/>
    <w:rsid w:val="00AA42C9"/>
    <w:rsid w:val="00AA74F4"/>
    <w:rsid w:val="00AB4A13"/>
    <w:rsid w:val="00AB5F3D"/>
    <w:rsid w:val="00AC3996"/>
    <w:rsid w:val="00AD2654"/>
    <w:rsid w:val="00AE243D"/>
    <w:rsid w:val="00AE2985"/>
    <w:rsid w:val="00AE3B4D"/>
    <w:rsid w:val="00AE5F9A"/>
    <w:rsid w:val="00AF4556"/>
    <w:rsid w:val="00B01F47"/>
    <w:rsid w:val="00B11558"/>
    <w:rsid w:val="00B119B2"/>
    <w:rsid w:val="00B11C07"/>
    <w:rsid w:val="00B14143"/>
    <w:rsid w:val="00B21C75"/>
    <w:rsid w:val="00B24D39"/>
    <w:rsid w:val="00B30664"/>
    <w:rsid w:val="00B310C3"/>
    <w:rsid w:val="00B32FBC"/>
    <w:rsid w:val="00B34130"/>
    <w:rsid w:val="00B372B1"/>
    <w:rsid w:val="00B41704"/>
    <w:rsid w:val="00B64BEE"/>
    <w:rsid w:val="00B702D6"/>
    <w:rsid w:val="00B76CA0"/>
    <w:rsid w:val="00B824F3"/>
    <w:rsid w:val="00B847FB"/>
    <w:rsid w:val="00B86986"/>
    <w:rsid w:val="00BB23F2"/>
    <w:rsid w:val="00BB6B39"/>
    <w:rsid w:val="00BC58DD"/>
    <w:rsid w:val="00BF11FF"/>
    <w:rsid w:val="00C03B63"/>
    <w:rsid w:val="00C05434"/>
    <w:rsid w:val="00C059C6"/>
    <w:rsid w:val="00C06195"/>
    <w:rsid w:val="00C07197"/>
    <w:rsid w:val="00C25B7C"/>
    <w:rsid w:val="00C30E14"/>
    <w:rsid w:val="00C45E7D"/>
    <w:rsid w:val="00C46FEB"/>
    <w:rsid w:val="00C53990"/>
    <w:rsid w:val="00C717EC"/>
    <w:rsid w:val="00C74C36"/>
    <w:rsid w:val="00C8040F"/>
    <w:rsid w:val="00C8232D"/>
    <w:rsid w:val="00C8245F"/>
    <w:rsid w:val="00C84D30"/>
    <w:rsid w:val="00C93C3C"/>
    <w:rsid w:val="00C96877"/>
    <w:rsid w:val="00CA406C"/>
    <w:rsid w:val="00CA626E"/>
    <w:rsid w:val="00CA6AF5"/>
    <w:rsid w:val="00CB1B4C"/>
    <w:rsid w:val="00CB27FA"/>
    <w:rsid w:val="00CB559D"/>
    <w:rsid w:val="00CC1BFA"/>
    <w:rsid w:val="00CD3536"/>
    <w:rsid w:val="00CE00EE"/>
    <w:rsid w:val="00CE495D"/>
    <w:rsid w:val="00CF2DF2"/>
    <w:rsid w:val="00CF6512"/>
    <w:rsid w:val="00D04CA8"/>
    <w:rsid w:val="00D050E2"/>
    <w:rsid w:val="00D068AD"/>
    <w:rsid w:val="00D075D2"/>
    <w:rsid w:val="00D10489"/>
    <w:rsid w:val="00D10A7B"/>
    <w:rsid w:val="00D10E32"/>
    <w:rsid w:val="00D135E6"/>
    <w:rsid w:val="00D31377"/>
    <w:rsid w:val="00D70D25"/>
    <w:rsid w:val="00D81BF4"/>
    <w:rsid w:val="00D84FAC"/>
    <w:rsid w:val="00D90F2D"/>
    <w:rsid w:val="00DA0AB5"/>
    <w:rsid w:val="00DA2337"/>
    <w:rsid w:val="00DB72A8"/>
    <w:rsid w:val="00DC25B2"/>
    <w:rsid w:val="00DC3FA3"/>
    <w:rsid w:val="00DC4B25"/>
    <w:rsid w:val="00DD075A"/>
    <w:rsid w:val="00DD6E87"/>
    <w:rsid w:val="00DE5FA3"/>
    <w:rsid w:val="00DE6A34"/>
    <w:rsid w:val="00E12C7D"/>
    <w:rsid w:val="00E13ABE"/>
    <w:rsid w:val="00E20B05"/>
    <w:rsid w:val="00E222CF"/>
    <w:rsid w:val="00E3358F"/>
    <w:rsid w:val="00E34975"/>
    <w:rsid w:val="00E37866"/>
    <w:rsid w:val="00E44AB8"/>
    <w:rsid w:val="00E46648"/>
    <w:rsid w:val="00E46A11"/>
    <w:rsid w:val="00E501AC"/>
    <w:rsid w:val="00E5362C"/>
    <w:rsid w:val="00E55790"/>
    <w:rsid w:val="00E56F8A"/>
    <w:rsid w:val="00E630A9"/>
    <w:rsid w:val="00E642D0"/>
    <w:rsid w:val="00E64FD7"/>
    <w:rsid w:val="00E661BA"/>
    <w:rsid w:val="00E728C7"/>
    <w:rsid w:val="00E742A4"/>
    <w:rsid w:val="00E83CF3"/>
    <w:rsid w:val="00E84B33"/>
    <w:rsid w:val="00E85A40"/>
    <w:rsid w:val="00E94058"/>
    <w:rsid w:val="00E95767"/>
    <w:rsid w:val="00EA7675"/>
    <w:rsid w:val="00EB2638"/>
    <w:rsid w:val="00EC4320"/>
    <w:rsid w:val="00ED07B0"/>
    <w:rsid w:val="00ED0E32"/>
    <w:rsid w:val="00ED2244"/>
    <w:rsid w:val="00ED2427"/>
    <w:rsid w:val="00ED4235"/>
    <w:rsid w:val="00ED5ED1"/>
    <w:rsid w:val="00EE35AB"/>
    <w:rsid w:val="00EE3C97"/>
    <w:rsid w:val="00EE3E23"/>
    <w:rsid w:val="00EE73A6"/>
    <w:rsid w:val="00F00EAA"/>
    <w:rsid w:val="00F101F6"/>
    <w:rsid w:val="00F164D2"/>
    <w:rsid w:val="00F2262A"/>
    <w:rsid w:val="00F24A61"/>
    <w:rsid w:val="00F2523A"/>
    <w:rsid w:val="00F25A95"/>
    <w:rsid w:val="00F2693C"/>
    <w:rsid w:val="00F44452"/>
    <w:rsid w:val="00F476C3"/>
    <w:rsid w:val="00F60FC3"/>
    <w:rsid w:val="00F64257"/>
    <w:rsid w:val="00F64495"/>
    <w:rsid w:val="00F75B95"/>
    <w:rsid w:val="00F90A76"/>
    <w:rsid w:val="00F9155D"/>
    <w:rsid w:val="00F96DF3"/>
    <w:rsid w:val="00FA243E"/>
    <w:rsid w:val="00FA6FB3"/>
    <w:rsid w:val="00FB25F5"/>
    <w:rsid w:val="00FB51C9"/>
    <w:rsid w:val="00FD1935"/>
    <w:rsid w:val="00FD699D"/>
    <w:rsid w:val="00FE30EE"/>
    <w:rsid w:val="00FF0D5E"/>
    <w:rsid w:val="01255120"/>
    <w:rsid w:val="016369DC"/>
    <w:rsid w:val="017C6D0A"/>
    <w:rsid w:val="01D26193"/>
    <w:rsid w:val="01FC5617"/>
    <w:rsid w:val="023A2E4D"/>
    <w:rsid w:val="027964F0"/>
    <w:rsid w:val="027C16B8"/>
    <w:rsid w:val="02C008B1"/>
    <w:rsid w:val="02C433FD"/>
    <w:rsid w:val="02D8385F"/>
    <w:rsid w:val="0341645D"/>
    <w:rsid w:val="03544D9A"/>
    <w:rsid w:val="03800DB0"/>
    <w:rsid w:val="038477B4"/>
    <w:rsid w:val="03907D8F"/>
    <w:rsid w:val="03D43BEC"/>
    <w:rsid w:val="03EC461B"/>
    <w:rsid w:val="045731A6"/>
    <w:rsid w:val="046566D8"/>
    <w:rsid w:val="046C27DD"/>
    <w:rsid w:val="04931534"/>
    <w:rsid w:val="04957028"/>
    <w:rsid w:val="04D92DA1"/>
    <w:rsid w:val="051C683A"/>
    <w:rsid w:val="05290AA8"/>
    <w:rsid w:val="05377B18"/>
    <w:rsid w:val="05396703"/>
    <w:rsid w:val="05485881"/>
    <w:rsid w:val="0570785E"/>
    <w:rsid w:val="057D5FEF"/>
    <w:rsid w:val="0588627E"/>
    <w:rsid w:val="05AB0A1C"/>
    <w:rsid w:val="05B111C3"/>
    <w:rsid w:val="05EF5D0A"/>
    <w:rsid w:val="064852AC"/>
    <w:rsid w:val="06595937"/>
    <w:rsid w:val="067975A1"/>
    <w:rsid w:val="06972BAA"/>
    <w:rsid w:val="06DA69AD"/>
    <w:rsid w:val="06E87032"/>
    <w:rsid w:val="072A3F36"/>
    <w:rsid w:val="079918BC"/>
    <w:rsid w:val="07DD49A7"/>
    <w:rsid w:val="07DF27CB"/>
    <w:rsid w:val="07E07279"/>
    <w:rsid w:val="08360008"/>
    <w:rsid w:val="08382AD8"/>
    <w:rsid w:val="08C77405"/>
    <w:rsid w:val="08F9083E"/>
    <w:rsid w:val="09680D28"/>
    <w:rsid w:val="09AA4D5C"/>
    <w:rsid w:val="09CF798E"/>
    <w:rsid w:val="09E2294B"/>
    <w:rsid w:val="0A3848AA"/>
    <w:rsid w:val="0A4040F5"/>
    <w:rsid w:val="0A91557F"/>
    <w:rsid w:val="0AAC173E"/>
    <w:rsid w:val="0B2A5C2D"/>
    <w:rsid w:val="0B5039C5"/>
    <w:rsid w:val="0B5C4D8D"/>
    <w:rsid w:val="0B7B7DE4"/>
    <w:rsid w:val="0B7C0033"/>
    <w:rsid w:val="0B813C75"/>
    <w:rsid w:val="0B835865"/>
    <w:rsid w:val="0B8C0535"/>
    <w:rsid w:val="0BBD7916"/>
    <w:rsid w:val="0BD52F16"/>
    <w:rsid w:val="0BEB51B8"/>
    <w:rsid w:val="0C527168"/>
    <w:rsid w:val="0C691456"/>
    <w:rsid w:val="0C762CD4"/>
    <w:rsid w:val="0CBB3450"/>
    <w:rsid w:val="0CEB1914"/>
    <w:rsid w:val="0D2210AE"/>
    <w:rsid w:val="0D3F3C07"/>
    <w:rsid w:val="0D440B4F"/>
    <w:rsid w:val="0D9559EB"/>
    <w:rsid w:val="0DAF28F4"/>
    <w:rsid w:val="0DC34A87"/>
    <w:rsid w:val="0DC40C23"/>
    <w:rsid w:val="0DD95C10"/>
    <w:rsid w:val="0E1C5A2D"/>
    <w:rsid w:val="0E32211C"/>
    <w:rsid w:val="0E413FBD"/>
    <w:rsid w:val="0E45308F"/>
    <w:rsid w:val="0E564BBE"/>
    <w:rsid w:val="0E641605"/>
    <w:rsid w:val="0E87382B"/>
    <w:rsid w:val="0ED44AF8"/>
    <w:rsid w:val="0ED85EC8"/>
    <w:rsid w:val="0EE228A3"/>
    <w:rsid w:val="0F5C5C5B"/>
    <w:rsid w:val="0FF24D67"/>
    <w:rsid w:val="101C3B92"/>
    <w:rsid w:val="102D3DE3"/>
    <w:rsid w:val="103E0566"/>
    <w:rsid w:val="103E210E"/>
    <w:rsid w:val="10526410"/>
    <w:rsid w:val="10583D85"/>
    <w:rsid w:val="109957E2"/>
    <w:rsid w:val="10A14E47"/>
    <w:rsid w:val="10A47B56"/>
    <w:rsid w:val="10C12866"/>
    <w:rsid w:val="10F95617"/>
    <w:rsid w:val="11100F9A"/>
    <w:rsid w:val="11953E67"/>
    <w:rsid w:val="12502EE4"/>
    <w:rsid w:val="12583971"/>
    <w:rsid w:val="12837EF9"/>
    <w:rsid w:val="12C80001"/>
    <w:rsid w:val="12DA18D7"/>
    <w:rsid w:val="130A686C"/>
    <w:rsid w:val="13164101"/>
    <w:rsid w:val="13456A34"/>
    <w:rsid w:val="134B2E32"/>
    <w:rsid w:val="13AA3F50"/>
    <w:rsid w:val="13E80CF3"/>
    <w:rsid w:val="1434118C"/>
    <w:rsid w:val="14706BA3"/>
    <w:rsid w:val="14872E93"/>
    <w:rsid w:val="14AD5701"/>
    <w:rsid w:val="14DA4197"/>
    <w:rsid w:val="14E2694B"/>
    <w:rsid w:val="14EF0347"/>
    <w:rsid w:val="15145780"/>
    <w:rsid w:val="152652C9"/>
    <w:rsid w:val="152F25BA"/>
    <w:rsid w:val="152F61BD"/>
    <w:rsid w:val="154921D8"/>
    <w:rsid w:val="15726B5A"/>
    <w:rsid w:val="157D344D"/>
    <w:rsid w:val="15CA2D3E"/>
    <w:rsid w:val="15F3690F"/>
    <w:rsid w:val="16457E7E"/>
    <w:rsid w:val="164C5C9B"/>
    <w:rsid w:val="16626164"/>
    <w:rsid w:val="16706486"/>
    <w:rsid w:val="16895CFA"/>
    <w:rsid w:val="16D24694"/>
    <w:rsid w:val="16FC63B5"/>
    <w:rsid w:val="173C6134"/>
    <w:rsid w:val="178A750B"/>
    <w:rsid w:val="179F350D"/>
    <w:rsid w:val="17CD34E2"/>
    <w:rsid w:val="17D16B68"/>
    <w:rsid w:val="17F378CF"/>
    <w:rsid w:val="18071D1A"/>
    <w:rsid w:val="180E295A"/>
    <w:rsid w:val="185F456B"/>
    <w:rsid w:val="186662F2"/>
    <w:rsid w:val="188B3FAB"/>
    <w:rsid w:val="189439DF"/>
    <w:rsid w:val="18CA1724"/>
    <w:rsid w:val="191E225B"/>
    <w:rsid w:val="194445CD"/>
    <w:rsid w:val="19AF7F34"/>
    <w:rsid w:val="19C72F2C"/>
    <w:rsid w:val="19E42B1F"/>
    <w:rsid w:val="19EE6164"/>
    <w:rsid w:val="1A300AFD"/>
    <w:rsid w:val="1A43070E"/>
    <w:rsid w:val="1A584361"/>
    <w:rsid w:val="1AF0196F"/>
    <w:rsid w:val="1B281EC2"/>
    <w:rsid w:val="1B413636"/>
    <w:rsid w:val="1B46065D"/>
    <w:rsid w:val="1B7170A9"/>
    <w:rsid w:val="1B784C0F"/>
    <w:rsid w:val="1B786A6B"/>
    <w:rsid w:val="1B9019A7"/>
    <w:rsid w:val="1B903686"/>
    <w:rsid w:val="1BF9395F"/>
    <w:rsid w:val="1C213DE9"/>
    <w:rsid w:val="1C381EC3"/>
    <w:rsid w:val="1C3B5D79"/>
    <w:rsid w:val="1C43786F"/>
    <w:rsid w:val="1C47735E"/>
    <w:rsid w:val="1C544B52"/>
    <w:rsid w:val="1CBB4733"/>
    <w:rsid w:val="1CC15B3A"/>
    <w:rsid w:val="1CCC06EE"/>
    <w:rsid w:val="1CD221A8"/>
    <w:rsid w:val="1CFF2B23"/>
    <w:rsid w:val="1D010460"/>
    <w:rsid w:val="1D345530"/>
    <w:rsid w:val="1D825A09"/>
    <w:rsid w:val="1D9B34F2"/>
    <w:rsid w:val="1DE8106D"/>
    <w:rsid w:val="1E2278C9"/>
    <w:rsid w:val="1E3A1ABC"/>
    <w:rsid w:val="1E492B49"/>
    <w:rsid w:val="1E537319"/>
    <w:rsid w:val="1E7630FA"/>
    <w:rsid w:val="1E7B4680"/>
    <w:rsid w:val="1E9A29F3"/>
    <w:rsid w:val="1EAB0F03"/>
    <w:rsid w:val="1EC96128"/>
    <w:rsid w:val="1EEA2796"/>
    <w:rsid w:val="1F825054"/>
    <w:rsid w:val="1F9E45C4"/>
    <w:rsid w:val="1FC9749E"/>
    <w:rsid w:val="1FD430C8"/>
    <w:rsid w:val="1FD928F9"/>
    <w:rsid w:val="1FE061F7"/>
    <w:rsid w:val="1FE67A08"/>
    <w:rsid w:val="1FF83E14"/>
    <w:rsid w:val="207838BA"/>
    <w:rsid w:val="20B108D4"/>
    <w:rsid w:val="20B64D36"/>
    <w:rsid w:val="20DB72AB"/>
    <w:rsid w:val="20FF7577"/>
    <w:rsid w:val="21076FB0"/>
    <w:rsid w:val="21312503"/>
    <w:rsid w:val="2141460D"/>
    <w:rsid w:val="214F3380"/>
    <w:rsid w:val="21535882"/>
    <w:rsid w:val="216B700C"/>
    <w:rsid w:val="21C33500"/>
    <w:rsid w:val="21E93C86"/>
    <w:rsid w:val="222C235B"/>
    <w:rsid w:val="223034CD"/>
    <w:rsid w:val="22487D97"/>
    <w:rsid w:val="227162B0"/>
    <w:rsid w:val="229121BE"/>
    <w:rsid w:val="2297354C"/>
    <w:rsid w:val="22A23946"/>
    <w:rsid w:val="22B4283B"/>
    <w:rsid w:val="23221169"/>
    <w:rsid w:val="23305E7B"/>
    <w:rsid w:val="233B78B7"/>
    <w:rsid w:val="235C0A1E"/>
    <w:rsid w:val="23887A65"/>
    <w:rsid w:val="23A80E8E"/>
    <w:rsid w:val="23CF6177"/>
    <w:rsid w:val="23D95C8C"/>
    <w:rsid w:val="23F07EEE"/>
    <w:rsid w:val="24337533"/>
    <w:rsid w:val="24561911"/>
    <w:rsid w:val="245F7168"/>
    <w:rsid w:val="249814D4"/>
    <w:rsid w:val="24DE7D55"/>
    <w:rsid w:val="250474F1"/>
    <w:rsid w:val="25090E7B"/>
    <w:rsid w:val="252E0999"/>
    <w:rsid w:val="25490E90"/>
    <w:rsid w:val="256416EC"/>
    <w:rsid w:val="258C1362"/>
    <w:rsid w:val="25B64B69"/>
    <w:rsid w:val="25CB59E7"/>
    <w:rsid w:val="25E8752A"/>
    <w:rsid w:val="265D0168"/>
    <w:rsid w:val="268245B6"/>
    <w:rsid w:val="26887D7C"/>
    <w:rsid w:val="269513AC"/>
    <w:rsid w:val="26D0702D"/>
    <w:rsid w:val="26F6458E"/>
    <w:rsid w:val="27011AC5"/>
    <w:rsid w:val="27346A6A"/>
    <w:rsid w:val="275D2FB6"/>
    <w:rsid w:val="2774633A"/>
    <w:rsid w:val="27AB1F74"/>
    <w:rsid w:val="28386C27"/>
    <w:rsid w:val="283F090E"/>
    <w:rsid w:val="288F5A4E"/>
    <w:rsid w:val="28D85A5E"/>
    <w:rsid w:val="290C0DF1"/>
    <w:rsid w:val="29304E1A"/>
    <w:rsid w:val="294E07F4"/>
    <w:rsid w:val="296B6E9A"/>
    <w:rsid w:val="299215FF"/>
    <w:rsid w:val="299A107D"/>
    <w:rsid w:val="29A22391"/>
    <w:rsid w:val="29EC6874"/>
    <w:rsid w:val="29FA644B"/>
    <w:rsid w:val="2A042BE2"/>
    <w:rsid w:val="2A32072A"/>
    <w:rsid w:val="2A46375B"/>
    <w:rsid w:val="2A4978BC"/>
    <w:rsid w:val="2A7C7BF7"/>
    <w:rsid w:val="2A827ECE"/>
    <w:rsid w:val="2AA21199"/>
    <w:rsid w:val="2AC1385C"/>
    <w:rsid w:val="2AD00FC2"/>
    <w:rsid w:val="2AE140B3"/>
    <w:rsid w:val="2B0C0F7B"/>
    <w:rsid w:val="2B110340"/>
    <w:rsid w:val="2B661CFC"/>
    <w:rsid w:val="2B6629B7"/>
    <w:rsid w:val="2B8E4B51"/>
    <w:rsid w:val="2BA1144E"/>
    <w:rsid w:val="2BC30A53"/>
    <w:rsid w:val="2BF851C9"/>
    <w:rsid w:val="2C0C4708"/>
    <w:rsid w:val="2C191E39"/>
    <w:rsid w:val="2C357514"/>
    <w:rsid w:val="2C444986"/>
    <w:rsid w:val="2C464019"/>
    <w:rsid w:val="2C722A66"/>
    <w:rsid w:val="2C8C66E3"/>
    <w:rsid w:val="2C980EEA"/>
    <w:rsid w:val="2CB2345D"/>
    <w:rsid w:val="2D0001A8"/>
    <w:rsid w:val="2D0217A7"/>
    <w:rsid w:val="2D0637A8"/>
    <w:rsid w:val="2D88404B"/>
    <w:rsid w:val="2D990AC0"/>
    <w:rsid w:val="2DF126AA"/>
    <w:rsid w:val="2DFD1DD4"/>
    <w:rsid w:val="2E0C0731"/>
    <w:rsid w:val="2E3507E9"/>
    <w:rsid w:val="2E3A76F0"/>
    <w:rsid w:val="2E3F7499"/>
    <w:rsid w:val="2E92734E"/>
    <w:rsid w:val="2E933762"/>
    <w:rsid w:val="2EAC0C26"/>
    <w:rsid w:val="2EDE2F0D"/>
    <w:rsid w:val="2EE360AB"/>
    <w:rsid w:val="2EF57F78"/>
    <w:rsid w:val="2EF62BF0"/>
    <w:rsid w:val="2F070981"/>
    <w:rsid w:val="2F087CAC"/>
    <w:rsid w:val="2F305345"/>
    <w:rsid w:val="2F4A2072"/>
    <w:rsid w:val="2F87207A"/>
    <w:rsid w:val="2F8861AD"/>
    <w:rsid w:val="2F9C72EA"/>
    <w:rsid w:val="2FBA00DA"/>
    <w:rsid w:val="301835B3"/>
    <w:rsid w:val="306F277D"/>
    <w:rsid w:val="307F7AFA"/>
    <w:rsid w:val="30E318C2"/>
    <w:rsid w:val="30E91094"/>
    <w:rsid w:val="30EA60CD"/>
    <w:rsid w:val="31481885"/>
    <w:rsid w:val="314C0871"/>
    <w:rsid w:val="31750EFD"/>
    <w:rsid w:val="31D71052"/>
    <w:rsid w:val="31DE6AA2"/>
    <w:rsid w:val="31F86E0B"/>
    <w:rsid w:val="31FC0059"/>
    <w:rsid w:val="320F4AAF"/>
    <w:rsid w:val="322F027F"/>
    <w:rsid w:val="32347681"/>
    <w:rsid w:val="32592A84"/>
    <w:rsid w:val="326220EA"/>
    <w:rsid w:val="329C2436"/>
    <w:rsid w:val="32A92FAB"/>
    <w:rsid w:val="32B43831"/>
    <w:rsid w:val="32DF4EFB"/>
    <w:rsid w:val="32E26A66"/>
    <w:rsid w:val="33244988"/>
    <w:rsid w:val="333948D8"/>
    <w:rsid w:val="33592894"/>
    <w:rsid w:val="33786EDA"/>
    <w:rsid w:val="342C36C2"/>
    <w:rsid w:val="347018AE"/>
    <w:rsid w:val="34B306BA"/>
    <w:rsid w:val="34C35956"/>
    <w:rsid w:val="35040451"/>
    <w:rsid w:val="3513710C"/>
    <w:rsid w:val="353D05C5"/>
    <w:rsid w:val="35516E92"/>
    <w:rsid w:val="356D50E7"/>
    <w:rsid w:val="358637E1"/>
    <w:rsid w:val="35A149B6"/>
    <w:rsid w:val="35B13261"/>
    <w:rsid w:val="35B56D1B"/>
    <w:rsid w:val="35BB4AE9"/>
    <w:rsid w:val="35DE1766"/>
    <w:rsid w:val="360366BB"/>
    <w:rsid w:val="36105455"/>
    <w:rsid w:val="36177BC2"/>
    <w:rsid w:val="36363350"/>
    <w:rsid w:val="36A6445C"/>
    <w:rsid w:val="36AC3612"/>
    <w:rsid w:val="36C95F72"/>
    <w:rsid w:val="36CA7C2B"/>
    <w:rsid w:val="37380F5D"/>
    <w:rsid w:val="377A101B"/>
    <w:rsid w:val="37F25055"/>
    <w:rsid w:val="37F26F6F"/>
    <w:rsid w:val="37FB01A5"/>
    <w:rsid w:val="38117865"/>
    <w:rsid w:val="38143B4C"/>
    <w:rsid w:val="3827129A"/>
    <w:rsid w:val="384358B1"/>
    <w:rsid w:val="384930C0"/>
    <w:rsid w:val="38690680"/>
    <w:rsid w:val="387870C2"/>
    <w:rsid w:val="388D48F4"/>
    <w:rsid w:val="38B97A67"/>
    <w:rsid w:val="38C01EFC"/>
    <w:rsid w:val="38E94C2D"/>
    <w:rsid w:val="390B17A4"/>
    <w:rsid w:val="391C6CF8"/>
    <w:rsid w:val="394709F1"/>
    <w:rsid w:val="39B8192B"/>
    <w:rsid w:val="39F507EB"/>
    <w:rsid w:val="3A252DF0"/>
    <w:rsid w:val="3A5E23D3"/>
    <w:rsid w:val="3A9C3F2E"/>
    <w:rsid w:val="3AB4342E"/>
    <w:rsid w:val="3ABE3914"/>
    <w:rsid w:val="3ADE394A"/>
    <w:rsid w:val="3B1B6BFD"/>
    <w:rsid w:val="3B2E0A00"/>
    <w:rsid w:val="3B702A97"/>
    <w:rsid w:val="3BB814ED"/>
    <w:rsid w:val="3BC60CD2"/>
    <w:rsid w:val="3BE643BE"/>
    <w:rsid w:val="3C0027ED"/>
    <w:rsid w:val="3C0470CC"/>
    <w:rsid w:val="3C102617"/>
    <w:rsid w:val="3C535D05"/>
    <w:rsid w:val="3C664424"/>
    <w:rsid w:val="3C830363"/>
    <w:rsid w:val="3C9708C1"/>
    <w:rsid w:val="3CC26DD5"/>
    <w:rsid w:val="3CE024D8"/>
    <w:rsid w:val="3CE100B3"/>
    <w:rsid w:val="3D1E68A5"/>
    <w:rsid w:val="3D341859"/>
    <w:rsid w:val="3D4C16AB"/>
    <w:rsid w:val="3D864BBD"/>
    <w:rsid w:val="3DE90CA8"/>
    <w:rsid w:val="3DF43F0C"/>
    <w:rsid w:val="3E375356"/>
    <w:rsid w:val="3E9C3CA2"/>
    <w:rsid w:val="3EA572C5"/>
    <w:rsid w:val="3EA95327"/>
    <w:rsid w:val="3EDA6922"/>
    <w:rsid w:val="3F2A5A1C"/>
    <w:rsid w:val="3F57525E"/>
    <w:rsid w:val="3F823162"/>
    <w:rsid w:val="3FAD3050"/>
    <w:rsid w:val="402F6CDA"/>
    <w:rsid w:val="403D25CE"/>
    <w:rsid w:val="40477F08"/>
    <w:rsid w:val="4056071C"/>
    <w:rsid w:val="40747F85"/>
    <w:rsid w:val="40854466"/>
    <w:rsid w:val="40905E42"/>
    <w:rsid w:val="40A93F0E"/>
    <w:rsid w:val="40C82E4C"/>
    <w:rsid w:val="410A6ADC"/>
    <w:rsid w:val="4131338D"/>
    <w:rsid w:val="413518CB"/>
    <w:rsid w:val="41455423"/>
    <w:rsid w:val="414B4C30"/>
    <w:rsid w:val="41704B3F"/>
    <w:rsid w:val="41764F49"/>
    <w:rsid w:val="418262C0"/>
    <w:rsid w:val="4187405F"/>
    <w:rsid w:val="41B56CAA"/>
    <w:rsid w:val="41B617E9"/>
    <w:rsid w:val="41C6123D"/>
    <w:rsid w:val="41E2519D"/>
    <w:rsid w:val="41FC02B8"/>
    <w:rsid w:val="4235270E"/>
    <w:rsid w:val="426E4ABD"/>
    <w:rsid w:val="435D0512"/>
    <w:rsid w:val="436F7AE4"/>
    <w:rsid w:val="43B9268A"/>
    <w:rsid w:val="43C13671"/>
    <w:rsid w:val="441F6C6B"/>
    <w:rsid w:val="44385819"/>
    <w:rsid w:val="44CF1F71"/>
    <w:rsid w:val="450C46F7"/>
    <w:rsid w:val="453D2D7C"/>
    <w:rsid w:val="454D2FBB"/>
    <w:rsid w:val="455260C7"/>
    <w:rsid w:val="45604A5B"/>
    <w:rsid w:val="456A7CB2"/>
    <w:rsid w:val="45AF1C56"/>
    <w:rsid w:val="45CD398C"/>
    <w:rsid w:val="45DF267C"/>
    <w:rsid w:val="461A5173"/>
    <w:rsid w:val="4654512D"/>
    <w:rsid w:val="465F5982"/>
    <w:rsid w:val="4666072B"/>
    <w:rsid w:val="466E4440"/>
    <w:rsid w:val="46875502"/>
    <w:rsid w:val="468B4FF2"/>
    <w:rsid w:val="46B83099"/>
    <w:rsid w:val="46C432D2"/>
    <w:rsid w:val="46DB1F89"/>
    <w:rsid w:val="46E47E8D"/>
    <w:rsid w:val="46ED7A5B"/>
    <w:rsid w:val="46F2650B"/>
    <w:rsid w:val="47053157"/>
    <w:rsid w:val="4722535D"/>
    <w:rsid w:val="47555600"/>
    <w:rsid w:val="477D4389"/>
    <w:rsid w:val="47825A0F"/>
    <w:rsid w:val="478E0650"/>
    <w:rsid w:val="47995B66"/>
    <w:rsid w:val="47AD484B"/>
    <w:rsid w:val="47D227AD"/>
    <w:rsid w:val="47F873D7"/>
    <w:rsid w:val="4807607D"/>
    <w:rsid w:val="48174023"/>
    <w:rsid w:val="484653A1"/>
    <w:rsid w:val="485B27A2"/>
    <w:rsid w:val="489C4A2C"/>
    <w:rsid w:val="489F2FD7"/>
    <w:rsid w:val="48E1714C"/>
    <w:rsid w:val="48E96000"/>
    <w:rsid w:val="491603F6"/>
    <w:rsid w:val="49321118"/>
    <w:rsid w:val="49523BA5"/>
    <w:rsid w:val="496F0B9B"/>
    <w:rsid w:val="49784433"/>
    <w:rsid w:val="49803223"/>
    <w:rsid w:val="49945514"/>
    <w:rsid w:val="49D15412"/>
    <w:rsid w:val="49DB6AEE"/>
    <w:rsid w:val="4A231E0D"/>
    <w:rsid w:val="4A3C6B4E"/>
    <w:rsid w:val="4A5B700A"/>
    <w:rsid w:val="4A954692"/>
    <w:rsid w:val="4B1B446B"/>
    <w:rsid w:val="4B497FA2"/>
    <w:rsid w:val="4B693428"/>
    <w:rsid w:val="4B784AE9"/>
    <w:rsid w:val="4B79555B"/>
    <w:rsid w:val="4B83098E"/>
    <w:rsid w:val="4B9401CC"/>
    <w:rsid w:val="4B9C0DF2"/>
    <w:rsid w:val="4BA6598E"/>
    <w:rsid w:val="4BB9671B"/>
    <w:rsid w:val="4BC67D8A"/>
    <w:rsid w:val="4BE96317"/>
    <w:rsid w:val="4C1B0BC7"/>
    <w:rsid w:val="4C1C66ED"/>
    <w:rsid w:val="4C2D509A"/>
    <w:rsid w:val="4C453E95"/>
    <w:rsid w:val="4C675BBA"/>
    <w:rsid w:val="4C73635B"/>
    <w:rsid w:val="4CCE610B"/>
    <w:rsid w:val="4CD31CAF"/>
    <w:rsid w:val="4CE32A44"/>
    <w:rsid w:val="4CE904DA"/>
    <w:rsid w:val="4D2E1F21"/>
    <w:rsid w:val="4D6151FB"/>
    <w:rsid w:val="4D6B29E3"/>
    <w:rsid w:val="4D924EB8"/>
    <w:rsid w:val="4DEC5698"/>
    <w:rsid w:val="4E07181E"/>
    <w:rsid w:val="4E1907B5"/>
    <w:rsid w:val="4E331D11"/>
    <w:rsid w:val="4E4F4B28"/>
    <w:rsid w:val="4E925E32"/>
    <w:rsid w:val="4EBC31FC"/>
    <w:rsid w:val="4EC630F5"/>
    <w:rsid w:val="4EE86FA0"/>
    <w:rsid w:val="4F096F16"/>
    <w:rsid w:val="4F146D57"/>
    <w:rsid w:val="4F4315BD"/>
    <w:rsid w:val="4FD9304E"/>
    <w:rsid w:val="50607F9C"/>
    <w:rsid w:val="506E32E3"/>
    <w:rsid w:val="50711E42"/>
    <w:rsid w:val="50795EBC"/>
    <w:rsid w:val="50C307DD"/>
    <w:rsid w:val="50E01DCE"/>
    <w:rsid w:val="50F934A0"/>
    <w:rsid w:val="513D4EEC"/>
    <w:rsid w:val="514E559A"/>
    <w:rsid w:val="51544BA0"/>
    <w:rsid w:val="51587533"/>
    <w:rsid w:val="51785307"/>
    <w:rsid w:val="518D21E0"/>
    <w:rsid w:val="51E74B26"/>
    <w:rsid w:val="523E4FEE"/>
    <w:rsid w:val="5277577A"/>
    <w:rsid w:val="529214B7"/>
    <w:rsid w:val="52AD37E7"/>
    <w:rsid w:val="52B07FB8"/>
    <w:rsid w:val="52D40D94"/>
    <w:rsid w:val="52ED681F"/>
    <w:rsid w:val="530F6ED6"/>
    <w:rsid w:val="53267714"/>
    <w:rsid w:val="5374066E"/>
    <w:rsid w:val="53F00B8B"/>
    <w:rsid w:val="53F22B29"/>
    <w:rsid w:val="542B3B05"/>
    <w:rsid w:val="54387E3C"/>
    <w:rsid w:val="54482775"/>
    <w:rsid w:val="54754BEC"/>
    <w:rsid w:val="54771F9B"/>
    <w:rsid w:val="54801B71"/>
    <w:rsid w:val="54901D53"/>
    <w:rsid w:val="54B0429B"/>
    <w:rsid w:val="54DE4E87"/>
    <w:rsid w:val="550069F8"/>
    <w:rsid w:val="551868DC"/>
    <w:rsid w:val="553B069A"/>
    <w:rsid w:val="55A2598D"/>
    <w:rsid w:val="55B17702"/>
    <w:rsid w:val="5604091D"/>
    <w:rsid w:val="562D34BA"/>
    <w:rsid w:val="5665327D"/>
    <w:rsid w:val="5676725E"/>
    <w:rsid w:val="569845A2"/>
    <w:rsid w:val="56AA6EBA"/>
    <w:rsid w:val="56D965EC"/>
    <w:rsid w:val="56E60144"/>
    <w:rsid w:val="56E9213D"/>
    <w:rsid w:val="56FA1F39"/>
    <w:rsid w:val="571C4B71"/>
    <w:rsid w:val="5778566A"/>
    <w:rsid w:val="57930190"/>
    <w:rsid w:val="58036BF7"/>
    <w:rsid w:val="58157F16"/>
    <w:rsid w:val="581D5AB6"/>
    <w:rsid w:val="583D414B"/>
    <w:rsid w:val="584E4E19"/>
    <w:rsid w:val="585E6E69"/>
    <w:rsid w:val="58960FC9"/>
    <w:rsid w:val="59073B5E"/>
    <w:rsid w:val="59246C05"/>
    <w:rsid w:val="59527BF2"/>
    <w:rsid w:val="596077B9"/>
    <w:rsid w:val="59721B47"/>
    <w:rsid w:val="59756FAE"/>
    <w:rsid w:val="59945B14"/>
    <w:rsid w:val="59C12681"/>
    <w:rsid w:val="59F45113"/>
    <w:rsid w:val="5A2A2253"/>
    <w:rsid w:val="5A3748A6"/>
    <w:rsid w:val="5A471BFC"/>
    <w:rsid w:val="5A495ECF"/>
    <w:rsid w:val="5A4C120D"/>
    <w:rsid w:val="5A6A088F"/>
    <w:rsid w:val="5A6C6C61"/>
    <w:rsid w:val="5ABF0323"/>
    <w:rsid w:val="5ACF70DC"/>
    <w:rsid w:val="5AE87A58"/>
    <w:rsid w:val="5B3069A9"/>
    <w:rsid w:val="5B3C14E3"/>
    <w:rsid w:val="5B4A0515"/>
    <w:rsid w:val="5B5E27B1"/>
    <w:rsid w:val="5BD40954"/>
    <w:rsid w:val="5C57280E"/>
    <w:rsid w:val="5C8B3F62"/>
    <w:rsid w:val="5C9D254F"/>
    <w:rsid w:val="5CFA5AB1"/>
    <w:rsid w:val="5D182948"/>
    <w:rsid w:val="5D4D4B30"/>
    <w:rsid w:val="5D6A375C"/>
    <w:rsid w:val="5D9A5891"/>
    <w:rsid w:val="5E421FE3"/>
    <w:rsid w:val="5E4C4F00"/>
    <w:rsid w:val="5E747B89"/>
    <w:rsid w:val="5EA84539"/>
    <w:rsid w:val="5EB82B14"/>
    <w:rsid w:val="5EBF3F02"/>
    <w:rsid w:val="5ECF75EF"/>
    <w:rsid w:val="5ED25734"/>
    <w:rsid w:val="5EFB0F00"/>
    <w:rsid w:val="5F17346F"/>
    <w:rsid w:val="5FA8535C"/>
    <w:rsid w:val="5FB264FA"/>
    <w:rsid w:val="5FEA2E20"/>
    <w:rsid w:val="60310D39"/>
    <w:rsid w:val="604F06A8"/>
    <w:rsid w:val="60997EB4"/>
    <w:rsid w:val="60A46F85"/>
    <w:rsid w:val="60F31048"/>
    <w:rsid w:val="610C3387"/>
    <w:rsid w:val="61574B46"/>
    <w:rsid w:val="617D4D72"/>
    <w:rsid w:val="617E27A1"/>
    <w:rsid w:val="617F354E"/>
    <w:rsid w:val="61B52E7F"/>
    <w:rsid w:val="61DC46B5"/>
    <w:rsid w:val="61DF169E"/>
    <w:rsid w:val="61ED495B"/>
    <w:rsid w:val="624E7154"/>
    <w:rsid w:val="62DB694B"/>
    <w:rsid w:val="62EF025F"/>
    <w:rsid w:val="6338794E"/>
    <w:rsid w:val="63660A9C"/>
    <w:rsid w:val="639E4765"/>
    <w:rsid w:val="63B745C8"/>
    <w:rsid w:val="63DA4D8E"/>
    <w:rsid w:val="641F1E85"/>
    <w:rsid w:val="64507B76"/>
    <w:rsid w:val="64A5151D"/>
    <w:rsid w:val="64BC4836"/>
    <w:rsid w:val="64BF526D"/>
    <w:rsid w:val="64D9181F"/>
    <w:rsid w:val="650870FF"/>
    <w:rsid w:val="65100D7D"/>
    <w:rsid w:val="651C667D"/>
    <w:rsid w:val="651D7306"/>
    <w:rsid w:val="653042A6"/>
    <w:rsid w:val="65461DA0"/>
    <w:rsid w:val="65482BBD"/>
    <w:rsid w:val="65487780"/>
    <w:rsid w:val="656E7B61"/>
    <w:rsid w:val="658E072A"/>
    <w:rsid w:val="6592488B"/>
    <w:rsid w:val="65CE40B2"/>
    <w:rsid w:val="66703465"/>
    <w:rsid w:val="668138C4"/>
    <w:rsid w:val="670E371D"/>
    <w:rsid w:val="672229B1"/>
    <w:rsid w:val="673B3A73"/>
    <w:rsid w:val="67672ABA"/>
    <w:rsid w:val="676919DE"/>
    <w:rsid w:val="678443B1"/>
    <w:rsid w:val="67DC4390"/>
    <w:rsid w:val="67FE7571"/>
    <w:rsid w:val="684F3C7A"/>
    <w:rsid w:val="68575469"/>
    <w:rsid w:val="687B0544"/>
    <w:rsid w:val="687D4DF4"/>
    <w:rsid w:val="68945A3C"/>
    <w:rsid w:val="68AF6D2E"/>
    <w:rsid w:val="690A5DF3"/>
    <w:rsid w:val="6933041D"/>
    <w:rsid w:val="694330B3"/>
    <w:rsid w:val="69650AD5"/>
    <w:rsid w:val="69860BD6"/>
    <w:rsid w:val="698F343B"/>
    <w:rsid w:val="69AE49D0"/>
    <w:rsid w:val="69C77840"/>
    <w:rsid w:val="69DB390C"/>
    <w:rsid w:val="69E15BCD"/>
    <w:rsid w:val="69E91EAC"/>
    <w:rsid w:val="6A053100"/>
    <w:rsid w:val="6A1F142A"/>
    <w:rsid w:val="6A23113A"/>
    <w:rsid w:val="6A5D01A4"/>
    <w:rsid w:val="6A65653D"/>
    <w:rsid w:val="6A667FCA"/>
    <w:rsid w:val="6A69220E"/>
    <w:rsid w:val="6A707849"/>
    <w:rsid w:val="6A890F99"/>
    <w:rsid w:val="6AD12A7D"/>
    <w:rsid w:val="6AD23F0F"/>
    <w:rsid w:val="6ADC4925"/>
    <w:rsid w:val="6AF6358C"/>
    <w:rsid w:val="6B23319C"/>
    <w:rsid w:val="6B251D96"/>
    <w:rsid w:val="6B625051"/>
    <w:rsid w:val="6B743227"/>
    <w:rsid w:val="6BAF2C82"/>
    <w:rsid w:val="6BD555A9"/>
    <w:rsid w:val="6C1869C8"/>
    <w:rsid w:val="6C1F24B5"/>
    <w:rsid w:val="6C5327A4"/>
    <w:rsid w:val="6C75150C"/>
    <w:rsid w:val="6C7C2B90"/>
    <w:rsid w:val="6C986AEF"/>
    <w:rsid w:val="6CC462B9"/>
    <w:rsid w:val="6CE22AC7"/>
    <w:rsid w:val="6CE945EA"/>
    <w:rsid w:val="6D033F55"/>
    <w:rsid w:val="6D2317DC"/>
    <w:rsid w:val="6D4224EB"/>
    <w:rsid w:val="6D4D2752"/>
    <w:rsid w:val="6D650363"/>
    <w:rsid w:val="6D8048D6"/>
    <w:rsid w:val="6DF60279"/>
    <w:rsid w:val="6DFA4688"/>
    <w:rsid w:val="6E745DE4"/>
    <w:rsid w:val="6E7F4DE3"/>
    <w:rsid w:val="6EAE1B84"/>
    <w:rsid w:val="6EB576C9"/>
    <w:rsid w:val="6EDC6E70"/>
    <w:rsid w:val="6EE71913"/>
    <w:rsid w:val="6F453904"/>
    <w:rsid w:val="6F4A4AFA"/>
    <w:rsid w:val="6F6B465C"/>
    <w:rsid w:val="6FA26D85"/>
    <w:rsid w:val="6FA81EC2"/>
    <w:rsid w:val="6FAA2D41"/>
    <w:rsid w:val="6FC01A57"/>
    <w:rsid w:val="6FC531B4"/>
    <w:rsid w:val="6FF9096F"/>
    <w:rsid w:val="70003AAC"/>
    <w:rsid w:val="70194B6E"/>
    <w:rsid w:val="705115D7"/>
    <w:rsid w:val="70800BBC"/>
    <w:rsid w:val="709E0678"/>
    <w:rsid w:val="70A319EE"/>
    <w:rsid w:val="70A430A0"/>
    <w:rsid w:val="70D70CB1"/>
    <w:rsid w:val="70F3653D"/>
    <w:rsid w:val="710D19B6"/>
    <w:rsid w:val="712F289B"/>
    <w:rsid w:val="71306613"/>
    <w:rsid w:val="713F31CF"/>
    <w:rsid w:val="719E1B0E"/>
    <w:rsid w:val="71A36DE5"/>
    <w:rsid w:val="71B21A79"/>
    <w:rsid w:val="71B508B0"/>
    <w:rsid w:val="71D4494F"/>
    <w:rsid w:val="71D55D1F"/>
    <w:rsid w:val="71E2666D"/>
    <w:rsid w:val="72011D3B"/>
    <w:rsid w:val="72102999"/>
    <w:rsid w:val="7231563C"/>
    <w:rsid w:val="72477B33"/>
    <w:rsid w:val="724F7BC5"/>
    <w:rsid w:val="725058CB"/>
    <w:rsid w:val="7262720C"/>
    <w:rsid w:val="728A4470"/>
    <w:rsid w:val="728E1843"/>
    <w:rsid w:val="72A23729"/>
    <w:rsid w:val="72DB36BE"/>
    <w:rsid w:val="731342AB"/>
    <w:rsid w:val="731F06ED"/>
    <w:rsid w:val="735E26AC"/>
    <w:rsid w:val="73656E4C"/>
    <w:rsid w:val="73873F96"/>
    <w:rsid w:val="73AD6B9E"/>
    <w:rsid w:val="73E9733F"/>
    <w:rsid w:val="7419513C"/>
    <w:rsid w:val="741C4CF6"/>
    <w:rsid w:val="742835D1"/>
    <w:rsid w:val="74462DED"/>
    <w:rsid w:val="74A024E4"/>
    <w:rsid w:val="74F3598D"/>
    <w:rsid w:val="750202C6"/>
    <w:rsid w:val="750E6C6B"/>
    <w:rsid w:val="75412B9C"/>
    <w:rsid w:val="75497C91"/>
    <w:rsid w:val="756712E2"/>
    <w:rsid w:val="75BC0F46"/>
    <w:rsid w:val="75C64E50"/>
    <w:rsid w:val="75D7633E"/>
    <w:rsid w:val="75EF3A0B"/>
    <w:rsid w:val="760153E7"/>
    <w:rsid w:val="763C7E39"/>
    <w:rsid w:val="764D622A"/>
    <w:rsid w:val="767E1A75"/>
    <w:rsid w:val="7709405E"/>
    <w:rsid w:val="77340413"/>
    <w:rsid w:val="776E1C43"/>
    <w:rsid w:val="777E4F08"/>
    <w:rsid w:val="77DD5B1C"/>
    <w:rsid w:val="780675A4"/>
    <w:rsid w:val="78346FCF"/>
    <w:rsid w:val="784A4CFD"/>
    <w:rsid w:val="78744A17"/>
    <w:rsid w:val="78744A2E"/>
    <w:rsid w:val="78AA5D54"/>
    <w:rsid w:val="78AC1FE8"/>
    <w:rsid w:val="78BC7E69"/>
    <w:rsid w:val="79047D48"/>
    <w:rsid w:val="791052E7"/>
    <w:rsid w:val="79266A35"/>
    <w:rsid w:val="79271D4B"/>
    <w:rsid w:val="794E0A0D"/>
    <w:rsid w:val="795B270E"/>
    <w:rsid w:val="79984715"/>
    <w:rsid w:val="79AC134F"/>
    <w:rsid w:val="79C67B14"/>
    <w:rsid w:val="7A304ECF"/>
    <w:rsid w:val="7A324F0E"/>
    <w:rsid w:val="7A3F4E41"/>
    <w:rsid w:val="7A707E68"/>
    <w:rsid w:val="7AD74CAB"/>
    <w:rsid w:val="7AF5268B"/>
    <w:rsid w:val="7B362FAD"/>
    <w:rsid w:val="7B974D22"/>
    <w:rsid w:val="7BA6789E"/>
    <w:rsid w:val="7BD40296"/>
    <w:rsid w:val="7BD4678A"/>
    <w:rsid w:val="7BDD78BF"/>
    <w:rsid w:val="7BF263FB"/>
    <w:rsid w:val="7C1735F1"/>
    <w:rsid w:val="7CE25AE5"/>
    <w:rsid w:val="7D49439B"/>
    <w:rsid w:val="7D605B8A"/>
    <w:rsid w:val="7D903B79"/>
    <w:rsid w:val="7DB124DF"/>
    <w:rsid w:val="7DB66040"/>
    <w:rsid w:val="7E215319"/>
    <w:rsid w:val="7EA02E2E"/>
    <w:rsid w:val="7EB951AD"/>
    <w:rsid w:val="7EFD1A3B"/>
    <w:rsid w:val="7EFD5331"/>
    <w:rsid w:val="7F267970"/>
    <w:rsid w:val="7F723CC4"/>
    <w:rsid w:val="7F752E18"/>
    <w:rsid w:val="7F967F89"/>
    <w:rsid w:val="7FC7605A"/>
    <w:rsid w:val="7FD64829"/>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3"/>
    <w:basedOn w:val="1"/>
    <w:next w:val="1"/>
    <w:link w:val="2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Lines="0" w:afterLines="0" w:line="240" w:lineRule="auto"/>
      <w:jc w:val="left"/>
      <w:outlineLvl w:val="3"/>
    </w:pPr>
    <w:rPr>
      <w:rFonts w:hint="eastAsia" w:ascii="Arial" w:hAnsi="Arial" w:eastAsia="宋体" w:cs="Times New Roman"/>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line="360" w:lineRule="auto"/>
      <w:ind w:firstLine="200" w:firstLineChars="200"/>
    </w:pPr>
    <w:rPr>
      <w:rFonts w:ascii="Arial" w:hAnsi="Arial" w:cs="Arial"/>
      <w:sz w:val="24"/>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annotation text"/>
    <w:basedOn w:val="1"/>
    <w:qFormat/>
    <w:uiPriority w:val="0"/>
    <w:pPr>
      <w:adjustRightInd w:val="0"/>
      <w:spacing w:line="360" w:lineRule="atLeast"/>
      <w:jc w:val="left"/>
      <w:textAlignment w:val="baseline"/>
    </w:pPr>
    <w:rPr>
      <w:kern w:val="0"/>
      <w:sz w:val="24"/>
    </w:rPr>
  </w:style>
  <w:style w:type="paragraph" w:styleId="9">
    <w:name w:val="Body Text Indent"/>
    <w:basedOn w:val="1"/>
    <w:link w:val="31"/>
    <w:qFormat/>
    <w:uiPriority w:val="0"/>
    <w:pPr>
      <w:spacing w:after="120"/>
      <w:ind w:left="420" w:leftChars="200"/>
    </w:pPr>
  </w:style>
  <w:style w:type="paragraph" w:styleId="10">
    <w:name w:val="Plain Text"/>
    <w:basedOn w:val="1"/>
    <w:link w:val="25"/>
    <w:qFormat/>
    <w:uiPriority w:val="0"/>
    <w:rPr>
      <w:rFonts w:ascii="宋体" w:hAnsi="Courier New"/>
      <w:szCs w:val="21"/>
    </w:rPr>
  </w:style>
  <w:style w:type="paragraph" w:styleId="11">
    <w:name w:val="Date"/>
    <w:basedOn w:val="1"/>
    <w:next w:val="1"/>
    <w:link w:val="26"/>
    <w:qFormat/>
    <w:uiPriority w:val="0"/>
    <w:rPr>
      <w:sz w:val="28"/>
      <w:szCs w:val="20"/>
    </w:rPr>
  </w:style>
  <w:style w:type="paragraph" w:styleId="12">
    <w:name w:val="Body Text Indent 2"/>
    <w:basedOn w:val="1"/>
    <w:link w:val="29"/>
    <w:qFormat/>
    <w:uiPriority w:val="0"/>
    <w:pPr>
      <w:snapToGrid w:val="0"/>
      <w:spacing w:line="560" w:lineRule="atLeast"/>
      <w:ind w:firstLine="540"/>
    </w:pPr>
    <w:rPr>
      <w:sz w:val="28"/>
      <w:szCs w:val="20"/>
    </w:rPr>
  </w:style>
  <w:style w:type="paragraph" w:styleId="13">
    <w:name w:val="Balloon Text"/>
    <w:basedOn w:val="1"/>
    <w:qFormat/>
    <w:uiPriority w:val="0"/>
    <w:rPr>
      <w:sz w:val="18"/>
      <w:szCs w:val="18"/>
    </w:rPr>
  </w:style>
  <w:style w:type="paragraph" w:styleId="14">
    <w:name w:val="footer"/>
    <w:basedOn w:val="1"/>
    <w:link w:val="30"/>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180" w:lineRule="auto"/>
      <w:jc w:val="center"/>
    </w:pPr>
    <w:rPr>
      <w:sz w:val="30"/>
      <w:szCs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qFormat/>
    <w:uiPriority w:val="0"/>
    <w:pPr>
      <w:spacing w:line="360" w:lineRule="exact"/>
      <w:ind w:left="0" w:firstLine="482"/>
    </w:pPr>
    <w:rPr>
      <w:rFonts w:ascii="Arial" w:hAnsi="Arial"/>
      <w:sz w:val="24"/>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
    <w:name w:val="纯文本 Char"/>
    <w:link w:val="10"/>
    <w:qFormat/>
    <w:uiPriority w:val="0"/>
    <w:rPr>
      <w:rFonts w:ascii="宋体" w:hAnsi="Courier New" w:cs="Courier New"/>
      <w:kern w:val="2"/>
      <w:sz w:val="21"/>
      <w:szCs w:val="21"/>
    </w:rPr>
  </w:style>
  <w:style w:type="character" w:customStyle="1" w:styleId="26">
    <w:name w:val="日期 Char"/>
    <w:link w:val="11"/>
    <w:qFormat/>
    <w:uiPriority w:val="0"/>
    <w:rPr>
      <w:kern w:val="2"/>
      <w:sz w:val="28"/>
    </w:rPr>
  </w:style>
  <w:style w:type="character" w:customStyle="1" w:styleId="27">
    <w:name w:val="标题 3 Char"/>
    <w:link w:val="5"/>
    <w:qFormat/>
    <w:uiPriority w:val="0"/>
    <w:rPr>
      <w:b/>
      <w:bCs/>
      <w:kern w:val="2"/>
      <w:sz w:val="32"/>
      <w:szCs w:val="32"/>
    </w:rPr>
  </w:style>
  <w:style w:type="character" w:customStyle="1" w:styleId="28">
    <w:name w:val="正文文本缩进 2 Char1"/>
    <w:qFormat/>
    <w:uiPriority w:val="0"/>
    <w:rPr>
      <w:kern w:val="2"/>
      <w:sz w:val="21"/>
      <w:szCs w:val="24"/>
    </w:rPr>
  </w:style>
  <w:style w:type="character" w:customStyle="1" w:styleId="29">
    <w:name w:val="正文文本缩进 2 Char"/>
    <w:link w:val="12"/>
    <w:qFormat/>
    <w:uiPriority w:val="0"/>
    <w:rPr>
      <w:kern w:val="2"/>
      <w:sz w:val="28"/>
    </w:rPr>
  </w:style>
  <w:style w:type="character" w:customStyle="1" w:styleId="30">
    <w:name w:val="页脚 Char"/>
    <w:link w:val="14"/>
    <w:qFormat/>
    <w:uiPriority w:val="99"/>
    <w:rPr>
      <w:kern w:val="2"/>
      <w:sz w:val="18"/>
      <w:szCs w:val="24"/>
    </w:rPr>
  </w:style>
  <w:style w:type="character" w:customStyle="1" w:styleId="31">
    <w:name w:val="正文文本缩进 Char"/>
    <w:link w:val="9"/>
    <w:qFormat/>
    <w:uiPriority w:val="0"/>
    <w:rPr>
      <w:kern w:val="2"/>
      <w:sz w:val="21"/>
      <w:szCs w:val="24"/>
    </w:rPr>
  </w:style>
  <w:style w:type="paragraph" w:customStyle="1" w:styleId="32">
    <w:name w:val="1"/>
    <w:basedOn w:val="1"/>
    <w:next w:val="10"/>
    <w:qFormat/>
    <w:uiPriority w:val="0"/>
    <w:rPr>
      <w:rFonts w:ascii="宋体" w:hAnsi="Courier New"/>
      <w:szCs w:val="20"/>
    </w:rPr>
  </w:style>
  <w:style w:type="character" w:customStyle="1" w:styleId="33">
    <w:name w:val="标题 1 Char1"/>
    <w:qFormat/>
    <w:uiPriority w:val="0"/>
    <w:rPr>
      <w:rFonts w:ascii="Times New Roman" w:hAnsi="Times New Roman" w:eastAsia="宋体" w:cs="Times New Roman"/>
      <w:b/>
      <w:bCs/>
      <w:kern w:val="44"/>
      <w:sz w:val="32"/>
      <w:szCs w:val="4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style>
  <w:style w:type="character" w:customStyle="1" w:styleId="36">
    <w:name w:val="UserStyle_1"/>
    <w:qFormat/>
    <w:uiPriority w:val="0"/>
    <w:rPr>
      <w:rFonts w:ascii="仿宋" w:hAnsi="仿宋"/>
      <w:color w:val="000000"/>
      <w:sz w:val="22"/>
      <w:szCs w:val="22"/>
    </w:rPr>
  </w:style>
  <w:style w:type="paragraph" w:customStyle="1" w:styleId="37">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13432</Words>
  <Characters>13724</Characters>
  <Lines>61</Lines>
  <Paragraphs>17</Paragraphs>
  <TotalTime>0</TotalTime>
  <ScaleCrop>false</ScaleCrop>
  <LinksUpToDate>false</LinksUpToDate>
  <CharactersWithSpaces>14773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2022-09-05T07:33:00Z</dcterms:created>
  <dc:creator>LP</dc:creator>
  <cp:lastModifiedBy>袁小妍</cp:lastModifiedBy>
  <cp:lastPrinted>2021-12-08T07:07:00Z</cp:lastPrinted>
  <dcterms:modified xsi:type="dcterms:W3CDTF">2023-10-26T06:23:55Z</dcterms:modified>
  <dc:title>项目名称：重庆医科大学附属大学城医院（一期）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8F1404BEF69846A482816242DC7029AF</vt:lpwstr>
  </property>
</Properties>
</file>