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AE189">
      <w:pPr>
        <w:widowControl/>
        <w:spacing w:line="560" w:lineRule="exact"/>
        <w:jc w:val="center"/>
        <w:rPr>
          <w:rFonts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重庆医科大学附属康复医院</w:t>
      </w:r>
    </w:p>
    <w:p w14:paraId="38CA4853">
      <w:pPr>
        <w:widowControl/>
        <w:spacing w:line="560" w:lineRule="exact"/>
        <w:jc w:val="center"/>
        <w:rPr>
          <w:rFonts w:hint="default" w:ascii="方正小标宋_GBK" w:hAnsi="方正小标宋_GBK" w:eastAsia="方正小标宋_GBK" w:cs="方正小标宋_GBK"/>
          <w:kern w:val="0"/>
          <w:sz w:val="44"/>
          <w:szCs w:val="44"/>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药品入库及追溯码采集系统软件服务</w:t>
      </w:r>
    </w:p>
    <w:p w14:paraId="3CAA0D73">
      <w:pPr>
        <w:widowControl/>
        <w:spacing w:line="560" w:lineRule="exact"/>
        <w:jc w:val="center"/>
        <w:rPr>
          <w:rFonts w:ascii="仿宋" w:hAnsi="仿宋" w:eastAsia="仿宋" w:cs="仿宋"/>
          <w:b/>
          <w:bCs/>
          <w:kern w:val="0"/>
          <w:sz w:val="32"/>
          <w:szCs w:val="32"/>
          <w:highlight w:val="none"/>
          <w:lang w:bidi="ar"/>
        </w:rPr>
      </w:pPr>
      <w:bookmarkStart w:id="0" w:name="_GoBack"/>
      <w:bookmarkEnd w:id="0"/>
    </w:p>
    <w:p w14:paraId="327976AA">
      <w:pPr>
        <w:spacing w:line="500" w:lineRule="exact"/>
        <w:jc w:val="center"/>
        <w:rPr>
          <w:rFonts w:hint="eastAsia" w:ascii="华文仿宋" w:hAnsi="华文仿宋" w:eastAsia="华文仿宋" w:cs="华文仿宋"/>
          <w:b/>
          <w:bCs/>
          <w:spacing w:val="-2"/>
          <w:sz w:val="32"/>
          <w:szCs w:val="32"/>
          <w:lang w:val="en-US" w:eastAsia="zh-CN"/>
        </w:rPr>
      </w:pPr>
    </w:p>
    <w:p w14:paraId="78CBA498">
      <w:pPr>
        <w:spacing w:line="500" w:lineRule="exact"/>
        <w:jc w:val="center"/>
        <w:rPr>
          <w:rFonts w:hint="eastAsia"/>
          <w:lang w:val="en-US" w:eastAsia="zh-CN"/>
        </w:rPr>
      </w:pPr>
      <w:r>
        <w:rPr>
          <w:rFonts w:hint="eastAsia" w:ascii="华文仿宋" w:hAnsi="华文仿宋" w:eastAsia="华文仿宋" w:cs="华文仿宋"/>
          <w:b/>
          <w:bCs/>
          <w:spacing w:val="-2"/>
          <w:sz w:val="32"/>
          <w:szCs w:val="32"/>
          <w:lang w:val="en-US" w:eastAsia="zh-CN"/>
        </w:rPr>
        <w:t xml:space="preserve"> 系统</w:t>
      </w:r>
      <w:r>
        <w:rPr>
          <w:rFonts w:hint="eastAsia" w:ascii="华文仿宋" w:hAnsi="华文仿宋" w:eastAsia="华文仿宋" w:cs="华文仿宋"/>
          <w:b/>
          <w:bCs/>
          <w:spacing w:val="-2"/>
          <w:sz w:val="32"/>
          <w:szCs w:val="32"/>
        </w:rPr>
        <w:t>项目技术</w:t>
      </w:r>
      <w:r>
        <w:rPr>
          <w:rFonts w:hint="eastAsia" w:ascii="华文仿宋" w:hAnsi="华文仿宋" w:eastAsia="华文仿宋" w:cs="华文仿宋"/>
          <w:b/>
          <w:bCs/>
          <w:spacing w:val="-2"/>
          <w:sz w:val="32"/>
          <w:szCs w:val="32"/>
          <w:lang w:eastAsia="zh-CN"/>
        </w:rPr>
        <w:t>（</w:t>
      </w:r>
      <w:r>
        <w:rPr>
          <w:rFonts w:hint="eastAsia" w:ascii="华文仿宋" w:hAnsi="华文仿宋" w:eastAsia="华文仿宋" w:cs="华文仿宋"/>
          <w:b/>
          <w:bCs/>
          <w:spacing w:val="-2"/>
          <w:sz w:val="32"/>
          <w:szCs w:val="32"/>
          <w:lang w:val="en-US" w:eastAsia="zh-CN"/>
        </w:rPr>
        <w:t>服务</w:t>
      </w:r>
      <w:r>
        <w:rPr>
          <w:rFonts w:hint="eastAsia" w:ascii="华文仿宋" w:hAnsi="华文仿宋" w:eastAsia="华文仿宋" w:cs="华文仿宋"/>
          <w:b/>
          <w:bCs/>
          <w:spacing w:val="-2"/>
          <w:sz w:val="32"/>
          <w:szCs w:val="32"/>
          <w:lang w:eastAsia="zh-CN"/>
        </w:rPr>
        <w:t>）</w:t>
      </w:r>
      <w:r>
        <w:rPr>
          <w:rFonts w:hint="eastAsia" w:ascii="华文仿宋" w:hAnsi="华文仿宋" w:eastAsia="华文仿宋" w:cs="华文仿宋"/>
          <w:b/>
          <w:bCs/>
          <w:spacing w:val="-2"/>
          <w:sz w:val="32"/>
          <w:szCs w:val="32"/>
        </w:rPr>
        <w:t>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81"/>
        <w:gridCol w:w="640"/>
        <w:gridCol w:w="853"/>
        <w:gridCol w:w="6748"/>
        <w:gridCol w:w="222"/>
        <w:gridCol w:w="222"/>
      </w:tblGrid>
      <w:tr w14:paraId="2A55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9" w:type="pct"/>
            <w:shd w:val="clear" w:color="auto" w:fill="auto"/>
            <w:vAlign w:val="center"/>
          </w:tcPr>
          <w:p w14:paraId="1A82033A">
            <w:r>
              <w:rPr>
                <w:rFonts w:hint="eastAsia"/>
              </w:rPr>
              <w:t>序号</w:t>
            </w:r>
          </w:p>
        </w:tc>
        <w:tc>
          <w:tcPr>
            <w:tcW w:w="392" w:type="pct"/>
            <w:shd w:val="clear" w:color="auto" w:fill="auto"/>
            <w:vAlign w:val="center"/>
          </w:tcPr>
          <w:p w14:paraId="76227352">
            <w:r>
              <w:rPr>
                <w:rFonts w:hint="eastAsia"/>
              </w:rPr>
              <w:t>系统名称</w:t>
            </w:r>
          </w:p>
        </w:tc>
        <w:tc>
          <w:tcPr>
            <w:tcW w:w="321" w:type="pct"/>
            <w:shd w:val="clear" w:color="auto" w:fill="auto"/>
            <w:vAlign w:val="center"/>
          </w:tcPr>
          <w:p w14:paraId="18E65DEF">
            <w:r>
              <w:rPr>
                <w:rFonts w:hint="eastAsia"/>
              </w:rPr>
              <w:t>模块</w:t>
            </w:r>
          </w:p>
        </w:tc>
        <w:tc>
          <w:tcPr>
            <w:tcW w:w="428" w:type="pct"/>
            <w:shd w:val="clear" w:color="auto" w:fill="auto"/>
            <w:vAlign w:val="center"/>
          </w:tcPr>
          <w:p w14:paraId="131CD4EE">
            <w:pPr>
              <w:jc w:val="center"/>
            </w:pPr>
            <w:r>
              <w:rPr>
                <w:rFonts w:hint="eastAsia"/>
              </w:rPr>
              <w:t>功能点</w:t>
            </w:r>
          </w:p>
        </w:tc>
        <w:tc>
          <w:tcPr>
            <w:tcW w:w="3385" w:type="pct"/>
            <w:shd w:val="clear" w:color="auto" w:fill="auto"/>
            <w:vAlign w:val="center"/>
          </w:tcPr>
          <w:p w14:paraId="707CA532">
            <w:r>
              <w:rPr>
                <w:rFonts w:hint="eastAsia"/>
              </w:rPr>
              <w:t>功能描述</w:t>
            </w:r>
          </w:p>
        </w:tc>
        <w:tc>
          <w:tcPr>
            <w:tcW w:w="111" w:type="pct"/>
            <w:shd w:val="clear" w:color="auto" w:fill="auto"/>
            <w:vAlign w:val="center"/>
          </w:tcPr>
          <w:p w14:paraId="3C843220"/>
        </w:tc>
        <w:tc>
          <w:tcPr>
            <w:tcW w:w="111" w:type="pct"/>
            <w:shd w:val="clear" w:color="auto" w:fill="auto"/>
            <w:vAlign w:val="center"/>
          </w:tcPr>
          <w:p w14:paraId="3AB4C1D6"/>
        </w:tc>
      </w:tr>
      <w:tr w14:paraId="4A2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249" w:type="pct"/>
            <w:vMerge w:val="restart"/>
            <w:shd w:val="clear" w:color="auto" w:fill="auto"/>
            <w:noWrap/>
            <w:vAlign w:val="center"/>
          </w:tcPr>
          <w:p w14:paraId="4BDAAA41">
            <w:pP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392" w:type="pct"/>
            <w:vMerge w:val="restart"/>
            <w:shd w:val="clear" w:color="auto" w:fill="auto"/>
            <w:vAlign w:val="center"/>
          </w:tcPr>
          <w:p w14:paraId="19A00A24">
            <w:pPr>
              <w:rPr>
                <w:rFonts w:hint="eastAsia" w:ascii="方正仿宋_GBK" w:hAnsi="方正仿宋_GBK" w:eastAsia="方正仿宋_GBK" w:cs="方正仿宋_GBK"/>
                <w:b w:val="0"/>
                <w:bCs w:val="0"/>
                <w:kern w:val="0"/>
                <w:sz w:val="32"/>
                <w:szCs w:val="32"/>
                <w:highlight w:val="none"/>
                <w:lang w:val="en-US" w:eastAsia="zh-CN" w:bidi="ar"/>
              </w:rPr>
            </w:pPr>
            <w:r>
              <w:rPr>
                <w:rFonts w:hint="eastAsia" w:ascii="方正仿宋_GBK" w:hAnsi="方正仿宋_GBK" w:eastAsia="方正仿宋_GBK" w:cs="方正仿宋_GBK"/>
                <w:b w:val="0"/>
                <w:bCs w:val="0"/>
                <w:kern w:val="0"/>
                <w:sz w:val="32"/>
                <w:szCs w:val="32"/>
                <w:highlight w:val="none"/>
                <w:lang w:val="en-US" w:eastAsia="zh-CN" w:bidi="ar"/>
              </w:rPr>
              <w:t>药品入库</w:t>
            </w:r>
          </w:p>
          <w:p w14:paraId="17930771">
            <w:pPr>
              <w:rPr>
                <w:rFonts w:hint="default" w:ascii="方正仿宋_GBK" w:hAnsi="方正仿宋_GBK" w:eastAsia="方正仿宋_GBK" w:cs="方正仿宋_GBK"/>
                <w:b w:val="0"/>
                <w:bCs w:val="0"/>
                <w:kern w:val="0"/>
                <w:sz w:val="32"/>
                <w:szCs w:val="32"/>
                <w:highlight w:val="none"/>
                <w:lang w:val="en-US" w:eastAsia="zh-CN" w:bidi="ar"/>
              </w:rPr>
            </w:pPr>
            <w:r>
              <w:rPr>
                <w:rFonts w:hint="eastAsia" w:ascii="方正仿宋_GBK" w:hAnsi="方正仿宋_GBK" w:eastAsia="方正仿宋_GBK" w:cs="方正仿宋_GBK"/>
                <w:b w:val="0"/>
                <w:bCs w:val="0"/>
                <w:kern w:val="0"/>
                <w:sz w:val="32"/>
                <w:szCs w:val="32"/>
                <w:highlight w:val="none"/>
                <w:lang w:val="en-US" w:eastAsia="zh-CN" w:bidi="ar"/>
              </w:rPr>
              <w:t>与</w:t>
            </w:r>
          </w:p>
          <w:p w14:paraId="1730E618">
            <w:pPr>
              <w:rPr>
                <w:rFonts w:hint="eastAsia" w:ascii="方正仿宋_GBK" w:hAnsi="方正仿宋_GBK" w:eastAsia="方正仿宋_GBK" w:cs="方正仿宋_GBK"/>
                <w:b w:val="0"/>
                <w:bCs w:val="0"/>
                <w:kern w:val="0"/>
                <w:sz w:val="32"/>
                <w:szCs w:val="32"/>
                <w:highlight w:val="none"/>
                <w:lang w:val="en-US" w:eastAsia="zh-CN" w:bidi="ar"/>
              </w:rPr>
            </w:pPr>
            <w:r>
              <w:rPr>
                <w:rFonts w:hint="eastAsia" w:ascii="方正仿宋_GBK" w:hAnsi="方正仿宋_GBK" w:eastAsia="方正仿宋_GBK" w:cs="方正仿宋_GBK"/>
                <w:b w:val="0"/>
                <w:bCs w:val="0"/>
                <w:kern w:val="0"/>
                <w:sz w:val="32"/>
                <w:szCs w:val="32"/>
                <w:highlight w:val="none"/>
                <w:lang w:val="en-US" w:eastAsia="zh-CN" w:bidi="ar"/>
              </w:rPr>
              <w:t>追溯</w:t>
            </w:r>
          </w:p>
          <w:p w14:paraId="733F2BDA">
            <w:pPr>
              <w:rPr>
                <w:color w:val="000000" w:themeColor="text1"/>
                <w14:textFill>
                  <w14:solidFill>
                    <w14:schemeClr w14:val="tx1"/>
                  </w14:solidFill>
                </w14:textFill>
              </w:rPr>
            </w:pPr>
            <w:r>
              <w:rPr>
                <w:rFonts w:hint="eastAsia" w:ascii="方正仿宋_GBK" w:hAnsi="方正仿宋_GBK" w:eastAsia="方正仿宋_GBK" w:cs="方正仿宋_GBK"/>
                <w:b w:val="0"/>
                <w:bCs w:val="0"/>
                <w:kern w:val="0"/>
                <w:sz w:val="32"/>
                <w:szCs w:val="32"/>
                <w:highlight w:val="none"/>
                <w:lang w:val="en-US" w:eastAsia="zh-CN" w:bidi="ar"/>
              </w:rPr>
              <w:t>码采集系统</w:t>
            </w:r>
          </w:p>
        </w:tc>
        <w:tc>
          <w:tcPr>
            <w:tcW w:w="321" w:type="pct"/>
            <w:shd w:val="clear" w:color="auto" w:fill="auto"/>
            <w:vAlign w:val="center"/>
          </w:tcPr>
          <w:p w14:paraId="3E0A2AB6">
            <w:r>
              <w:rPr>
                <w:rFonts w:hint="eastAsia"/>
              </w:rPr>
              <w:t>扫码解析</w:t>
            </w:r>
          </w:p>
        </w:tc>
        <w:tc>
          <w:tcPr>
            <w:tcW w:w="428" w:type="pct"/>
            <w:shd w:val="clear" w:color="auto" w:fill="auto"/>
            <w:vAlign w:val="center"/>
          </w:tcPr>
          <w:p w14:paraId="63CDC13A">
            <w:pPr>
              <w:jc w:val="center"/>
            </w:pPr>
            <w:r>
              <w:rPr>
                <w:rFonts w:hint="eastAsia"/>
              </w:rPr>
              <w:t>扫码解析</w:t>
            </w:r>
          </w:p>
        </w:tc>
        <w:tc>
          <w:tcPr>
            <w:tcW w:w="3385" w:type="pct"/>
            <w:shd w:val="clear" w:color="auto" w:fill="auto"/>
            <w:vAlign w:val="center"/>
          </w:tcPr>
          <w:p w14:paraId="7DF26BBD">
            <w:r>
              <w:rPr>
                <w:rFonts w:hint="eastAsia"/>
              </w:rPr>
              <w:t>★</w:t>
            </w:r>
            <w:r>
              <w:rPr>
                <w:rFonts w:hint="eastAsia"/>
                <w:color w:val="000000" w:themeColor="text1"/>
                <w14:textFill>
                  <w14:solidFill>
                    <w14:schemeClr w14:val="tx1"/>
                  </w14:solidFill>
                </w14:textFill>
              </w:rPr>
              <w:t>支持不同码制（DM码、QR码），支持不同形式载体(一维码、二维码)，支持多家企业发放的编码，如GS1/MA/AHM等多家企业编码的解析。</w:t>
            </w:r>
            <w:r>
              <w:rPr>
                <w:rFonts w:hint="eastAsia" w:ascii="宋体" w:hAnsi="宋体" w:eastAsia="宋体" w:cs="宋体"/>
                <w:color w:val="000000"/>
                <w:kern w:val="0"/>
                <w:szCs w:val="21"/>
              </w:rPr>
              <w:t>支持扫码枪能够扫码解析药品追溯码</w:t>
            </w:r>
          </w:p>
        </w:tc>
        <w:tc>
          <w:tcPr>
            <w:tcW w:w="111" w:type="pct"/>
            <w:shd w:val="clear" w:color="auto" w:fill="auto"/>
            <w:vAlign w:val="center"/>
          </w:tcPr>
          <w:p w14:paraId="58B7CBB3"/>
        </w:tc>
        <w:tc>
          <w:tcPr>
            <w:tcW w:w="111" w:type="pct"/>
            <w:shd w:val="clear" w:color="auto" w:fill="auto"/>
            <w:vAlign w:val="center"/>
          </w:tcPr>
          <w:p w14:paraId="66823935"/>
        </w:tc>
      </w:tr>
      <w:tr w14:paraId="7EED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49" w:type="pct"/>
            <w:vMerge w:val="continue"/>
            <w:shd w:val="clear" w:color="auto" w:fill="auto"/>
            <w:noWrap/>
            <w:vAlign w:val="center"/>
          </w:tcPr>
          <w:p w14:paraId="6AC2BC87">
            <w:pPr>
              <w:rPr>
                <w:color w:val="000000" w:themeColor="text1"/>
                <w14:textFill>
                  <w14:solidFill>
                    <w14:schemeClr w14:val="tx1"/>
                  </w14:solidFill>
                </w14:textFill>
              </w:rPr>
            </w:pPr>
          </w:p>
        </w:tc>
        <w:tc>
          <w:tcPr>
            <w:tcW w:w="392" w:type="pct"/>
            <w:vMerge w:val="continue"/>
            <w:shd w:val="clear" w:color="auto" w:fill="auto"/>
            <w:vAlign w:val="center"/>
          </w:tcPr>
          <w:p w14:paraId="4A074835">
            <w:pPr>
              <w:rPr>
                <w:color w:val="000000" w:themeColor="text1"/>
                <w14:textFill>
                  <w14:solidFill>
                    <w14:schemeClr w14:val="tx1"/>
                  </w14:solidFill>
                </w14:textFill>
              </w:rPr>
            </w:pPr>
          </w:p>
        </w:tc>
        <w:tc>
          <w:tcPr>
            <w:tcW w:w="321" w:type="pct"/>
            <w:vMerge w:val="restart"/>
            <w:shd w:val="clear" w:color="auto" w:fill="auto"/>
            <w:vAlign w:val="center"/>
          </w:tcPr>
          <w:p w14:paraId="681C972D">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协议管理</w:t>
            </w:r>
          </w:p>
        </w:tc>
        <w:tc>
          <w:tcPr>
            <w:tcW w:w="428" w:type="pct"/>
            <w:shd w:val="clear" w:color="auto" w:fill="auto"/>
            <w:vAlign w:val="center"/>
          </w:tcPr>
          <w:p w14:paraId="33DAB38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供货协议</w:t>
            </w:r>
          </w:p>
        </w:tc>
        <w:tc>
          <w:tcPr>
            <w:tcW w:w="3385" w:type="pct"/>
            <w:shd w:val="clear" w:color="auto" w:fill="auto"/>
            <w:vAlign w:val="center"/>
          </w:tcPr>
          <w:p w14:paraId="40276695">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支持同步院外供应商协议信息，</w:t>
            </w:r>
            <w:r>
              <w:rPr>
                <w:rFonts w:hint="eastAsia"/>
                <w:color w:val="000000" w:themeColor="text1"/>
                <w14:textFill>
                  <w14:solidFill>
                    <w14:schemeClr w14:val="tx1"/>
                  </w14:solidFill>
                </w14:textFill>
              </w:rPr>
              <w:t>可查看供应商供货目录及协议合同等信息</w:t>
            </w:r>
          </w:p>
        </w:tc>
        <w:tc>
          <w:tcPr>
            <w:tcW w:w="111" w:type="pct"/>
            <w:vMerge w:val="restart"/>
            <w:shd w:val="clear" w:color="auto" w:fill="auto"/>
            <w:vAlign w:val="center"/>
          </w:tcPr>
          <w:p w14:paraId="6513D4B1">
            <w:pPr>
              <w:rPr>
                <w:color w:val="C00000"/>
              </w:rPr>
            </w:pPr>
          </w:p>
        </w:tc>
        <w:tc>
          <w:tcPr>
            <w:tcW w:w="111" w:type="pct"/>
            <w:vMerge w:val="restart"/>
            <w:shd w:val="clear" w:color="auto" w:fill="auto"/>
            <w:vAlign w:val="center"/>
          </w:tcPr>
          <w:p w14:paraId="612F0606">
            <w:pPr>
              <w:rPr>
                <w:color w:val="C00000"/>
              </w:rPr>
            </w:pPr>
          </w:p>
        </w:tc>
      </w:tr>
      <w:tr w14:paraId="123C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3A7F452A">
            <w:pPr>
              <w:rPr>
                <w:color w:val="000000" w:themeColor="text1"/>
                <w14:textFill>
                  <w14:solidFill>
                    <w14:schemeClr w14:val="tx1"/>
                  </w14:solidFill>
                </w14:textFill>
              </w:rPr>
            </w:pPr>
          </w:p>
        </w:tc>
        <w:tc>
          <w:tcPr>
            <w:tcW w:w="392" w:type="pct"/>
            <w:vMerge w:val="continue"/>
            <w:shd w:val="clear" w:color="auto" w:fill="auto"/>
            <w:vAlign w:val="center"/>
          </w:tcPr>
          <w:p w14:paraId="0402056F">
            <w:pPr>
              <w:rPr>
                <w:color w:val="000000" w:themeColor="text1"/>
                <w14:textFill>
                  <w14:solidFill>
                    <w14:schemeClr w14:val="tx1"/>
                  </w14:solidFill>
                </w14:textFill>
              </w:rPr>
            </w:pPr>
          </w:p>
        </w:tc>
        <w:tc>
          <w:tcPr>
            <w:tcW w:w="321" w:type="pct"/>
            <w:vMerge w:val="continue"/>
            <w:shd w:val="clear" w:color="auto" w:fill="auto"/>
            <w:vAlign w:val="center"/>
          </w:tcPr>
          <w:p w14:paraId="56E3510C">
            <w:pPr>
              <w:rPr>
                <w:color w:val="000000" w:themeColor="text1"/>
                <w14:textFill>
                  <w14:solidFill>
                    <w14:schemeClr w14:val="tx1"/>
                  </w14:solidFill>
                </w14:textFill>
              </w:rPr>
            </w:pPr>
          </w:p>
        </w:tc>
        <w:tc>
          <w:tcPr>
            <w:tcW w:w="428" w:type="pct"/>
            <w:shd w:val="clear" w:color="auto" w:fill="auto"/>
            <w:vAlign w:val="center"/>
          </w:tcPr>
          <w:p w14:paraId="4791D35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药品列表</w:t>
            </w:r>
          </w:p>
        </w:tc>
        <w:tc>
          <w:tcPr>
            <w:tcW w:w="3385" w:type="pct"/>
            <w:shd w:val="clear" w:color="auto" w:fill="auto"/>
            <w:vAlign w:val="center"/>
          </w:tcPr>
          <w:p w14:paraId="41F68D2E">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支持</w:t>
            </w:r>
            <w:r>
              <w:rPr>
                <w:rFonts w:hint="eastAsia"/>
                <w:color w:val="000000" w:themeColor="text1"/>
                <w14:textFill>
                  <w14:solidFill>
                    <w14:schemeClr w14:val="tx1"/>
                  </w14:solidFill>
                </w14:textFill>
              </w:rPr>
              <w:t>查看供应商供的具体药品信息，</w:t>
            </w:r>
            <w:r>
              <w:rPr>
                <w:rFonts w:hint="eastAsia"/>
                <w:color w:val="000000" w:themeColor="text1"/>
                <w:lang w:val="en-US" w:eastAsia="zh-CN"/>
                <w14:textFill>
                  <w14:solidFill>
                    <w14:schemeClr w14:val="tx1"/>
                  </w14:solidFill>
                </w14:textFill>
              </w:rPr>
              <w:t>可多条件</w:t>
            </w:r>
            <w:r>
              <w:rPr>
                <w:rFonts w:hint="eastAsia"/>
                <w:color w:val="000000" w:themeColor="text1"/>
                <w14:textFill>
                  <w14:solidFill>
                    <w14:schemeClr w14:val="tx1"/>
                  </w14:solidFill>
                </w14:textFill>
              </w:rPr>
              <w:t>查询</w:t>
            </w:r>
          </w:p>
        </w:tc>
        <w:tc>
          <w:tcPr>
            <w:tcW w:w="111" w:type="pct"/>
            <w:vMerge w:val="continue"/>
            <w:shd w:val="clear" w:color="auto" w:fill="auto"/>
            <w:vAlign w:val="center"/>
          </w:tcPr>
          <w:p w14:paraId="5D464F7B">
            <w:pPr>
              <w:rPr>
                <w:color w:val="C00000"/>
              </w:rPr>
            </w:pPr>
          </w:p>
        </w:tc>
        <w:tc>
          <w:tcPr>
            <w:tcW w:w="111" w:type="pct"/>
            <w:vMerge w:val="continue"/>
            <w:shd w:val="clear" w:color="auto" w:fill="auto"/>
            <w:vAlign w:val="center"/>
          </w:tcPr>
          <w:p w14:paraId="54D5F61C">
            <w:pPr>
              <w:rPr>
                <w:color w:val="C00000"/>
              </w:rPr>
            </w:pPr>
          </w:p>
        </w:tc>
      </w:tr>
      <w:tr w14:paraId="2FA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6893A6F4">
            <w:pPr>
              <w:rPr>
                <w:color w:val="000000" w:themeColor="text1"/>
                <w14:textFill>
                  <w14:solidFill>
                    <w14:schemeClr w14:val="tx1"/>
                  </w14:solidFill>
                </w14:textFill>
              </w:rPr>
            </w:pPr>
          </w:p>
        </w:tc>
        <w:tc>
          <w:tcPr>
            <w:tcW w:w="392" w:type="pct"/>
            <w:vMerge w:val="continue"/>
            <w:shd w:val="clear" w:color="auto" w:fill="auto"/>
            <w:vAlign w:val="center"/>
          </w:tcPr>
          <w:p w14:paraId="78C239E4">
            <w:pPr>
              <w:rPr>
                <w:color w:val="000000" w:themeColor="text1"/>
                <w14:textFill>
                  <w14:solidFill>
                    <w14:schemeClr w14:val="tx1"/>
                  </w14:solidFill>
                </w14:textFill>
              </w:rPr>
            </w:pPr>
          </w:p>
        </w:tc>
        <w:tc>
          <w:tcPr>
            <w:tcW w:w="321" w:type="pct"/>
            <w:shd w:val="clear" w:color="auto" w:fill="auto"/>
            <w:vAlign w:val="center"/>
          </w:tcPr>
          <w:p w14:paraId="50EB4944">
            <w:pPr>
              <w:rPr>
                <w:color w:val="000000" w:themeColor="text1"/>
                <w14:textFill>
                  <w14:solidFill>
                    <w14:schemeClr w14:val="tx1"/>
                  </w14:solidFill>
                </w14:textFill>
              </w:rPr>
            </w:pPr>
            <w:r>
              <w:rPr>
                <w:rFonts w:hint="eastAsia"/>
                <w:color w:val="000000" w:themeColor="text1"/>
                <w14:textFill>
                  <w14:solidFill>
                    <w14:schemeClr w14:val="tx1"/>
                  </w14:solidFill>
                </w14:textFill>
              </w:rPr>
              <w:t>基础信息</w:t>
            </w:r>
          </w:p>
        </w:tc>
        <w:tc>
          <w:tcPr>
            <w:tcW w:w="428" w:type="pct"/>
            <w:shd w:val="clear" w:color="auto" w:fill="auto"/>
            <w:vAlign w:val="center"/>
          </w:tcPr>
          <w:p w14:paraId="34A71D0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药品档案</w:t>
            </w:r>
          </w:p>
        </w:tc>
        <w:tc>
          <w:tcPr>
            <w:tcW w:w="3385" w:type="pct"/>
            <w:shd w:val="clear" w:color="auto" w:fill="auto"/>
            <w:vAlign w:val="center"/>
          </w:tcPr>
          <w:p w14:paraId="1DC57D95">
            <w:pPr>
              <w:rPr>
                <w:rFonts w:hint="eastAsia"/>
                <w:color w:val="000000" w:themeColor="text1"/>
                <w14:textFill>
                  <w14:solidFill>
                    <w14:schemeClr w14:val="tx1"/>
                  </w14:solidFill>
                </w14:textFill>
              </w:rPr>
            </w:pPr>
            <w:r>
              <w:rPr>
                <w:rFonts w:hint="eastAsia"/>
              </w:rPr>
              <w:t>★</w:t>
            </w:r>
            <w:r>
              <w:rPr>
                <w:rFonts w:hint="eastAsia"/>
                <w:color w:val="000000" w:themeColor="text1"/>
                <w:lang w:val="en-US" w:eastAsia="zh-CN"/>
                <w14:textFill>
                  <w14:solidFill>
                    <w14:schemeClr w14:val="tx1"/>
                  </w14:solidFill>
                </w14:textFill>
              </w:rPr>
              <w:t>支持院外</w:t>
            </w:r>
            <w:r>
              <w:rPr>
                <w:rFonts w:hint="eastAsia"/>
                <w:color w:val="000000" w:themeColor="text1"/>
                <w14:textFill>
                  <w14:solidFill>
                    <w14:schemeClr w14:val="tx1"/>
                  </w14:solidFill>
                </w14:textFill>
              </w:rPr>
              <w:t>供应商的供货目录</w:t>
            </w:r>
            <w:r>
              <w:rPr>
                <w:rFonts w:hint="eastAsia"/>
                <w:color w:val="000000" w:themeColor="text1"/>
                <w:lang w:val="en-US" w:eastAsia="zh-CN"/>
                <w14:textFill>
                  <w14:solidFill>
                    <w14:schemeClr w14:val="tx1"/>
                  </w14:solidFill>
                </w14:textFill>
              </w:rPr>
              <w:t>同步至院内</w:t>
            </w:r>
            <w:r>
              <w:rPr>
                <w:rFonts w:hint="eastAsia"/>
                <w:color w:val="000000" w:themeColor="text1"/>
                <w14:textFill>
                  <w14:solidFill>
                    <w14:schemeClr w14:val="tx1"/>
                  </w14:solidFill>
                </w14:textFill>
              </w:rPr>
              <w:t>一键转化药品档案，</w:t>
            </w:r>
          </w:p>
          <w:p w14:paraId="3E952608">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支持对接HIS/HRP系统接口对接药品目录；支持EXECEL表格导入；</w:t>
            </w:r>
            <w:r>
              <w:rPr>
                <w:rFonts w:hint="eastAsia"/>
                <w:color w:val="000000" w:themeColor="text1"/>
                <w14:textFill>
                  <w14:solidFill>
                    <w14:schemeClr w14:val="tx1"/>
                  </w14:solidFill>
                </w14:textFill>
              </w:rPr>
              <w:t>可以根据不同条件进行查询，修改，删除，停用，启用等</w:t>
            </w:r>
          </w:p>
        </w:tc>
        <w:tc>
          <w:tcPr>
            <w:tcW w:w="111" w:type="pct"/>
            <w:vMerge w:val="continue"/>
            <w:shd w:val="clear" w:color="auto" w:fill="auto"/>
            <w:vAlign w:val="center"/>
          </w:tcPr>
          <w:p w14:paraId="52B28BB4">
            <w:pPr>
              <w:rPr>
                <w:color w:val="C00000"/>
              </w:rPr>
            </w:pPr>
          </w:p>
        </w:tc>
        <w:tc>
          <w:tcPr>
            <w:tcW w:w="111" w:type="pct"/>
            <w:vMerge w:val="continue"/>
            <w:shd w:val="clear" w:color="auto" w:fill="auto"/>
            <w:vAlign w:val="center"/>
          </w:tcPr>
          <w:p w14:paraId="57890E7F">
            <w:pPr>
              <w:rPr>
                <w:color w:val="C00000"/>
              </w:rPr>
            </w:pPr>
          </w:p>
        </w:tc>
      </w:tr>
      <w:tr w14:paraId="0437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1EF51324">
            <w:pPr>
              <w:rPr>
                <w:color w:val="000000" w:themeColor="text1"/>
                <w14:textFill>
                  <w14:solidFill>
                    <w14:schemeClr w14:val="tx1"/>
                  </w14:solidFill>
                </w14:textFill>
              </w:rPr>
            </w:pPr>
          </w:p>
        </w:tc>
        <w:tc>
          <w:tcPr>
            <w:tcW w:w="392" w:type="pct"/>
            <w:vMerge w:val="continue"/>
            <w:shd w:val="clear" w:color="auto" w:fill="auto"/>
            <w:vAlign w:val="center"/>
          </w:tcPr>
          <w:p w14:paraId="73CB1029">
            <w:pPr>
              <w:rPr>
                <w:color w:val="000000" w:themeColor="text1"/>
                <w14:textFill>
                  <w14:solidFill>
                    <w14:schemeClr w14:val="tx1"/>
                  </w14:solidFill>
                </w14:textFill>
              </w:rPr>
            </w:pPr>
          </w:p>
        </w:tc>
        <w:tc>
          <w:tcPr>
            <w:tcW w:w="321" w:type="pct"/>
            <w:vMerge w:val="restart"/>
            <w:shd w:val="clear" w:color="auto" w:fill="auto"/>
            <w:vAlign w:val="center"/>
          </w:tcPr>
          <w:p w14:paraId="7623FFCC">
            <w:pPr>
              <w:rPr>
                <w:color w:val="000000" w:themeColor="text1"/>
                <w14:textFill>
                  <w14:solidFill>
                    <w14:schemeClr w14:val="tx1"/>
                  </w14:solidFill>
                </w14:textFill>
              </w:rPr>
            </w:pPr>
            <w:r>
              <w:rPr>
                <w:rFonts w:hint="eastAsia"/>
                <w:color w:val="000000" w:themeColor="text1"/>
                <w14:textFill>
                  <w14:solidFill>
                    <w14:schemeClr w14:val="tx1"/>
                  </w14:solidFill>
                </w14:textFill>
              </w:rPr>
              <w:t>药库管理</w:t>
            </w:r>
          </w:p>
        </w:tc>
        <w:tc>
          <w:tcPr>
            <w:tcW w:w="428" w:type="pct"/>
            <w:shd w:val="clear" w:color="auto" w:fill="auto"/>
            <w:vAlign w:val="center"/>
          </w:tcPr>
          <w:p w14:paraId="5BF9A2E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药库采购</w:t>
            </w:r>
          </w:p>
        </w:tc>
        <w:tc>
          <w:tcPr>
            <w:tcW w:w="3385" w:type="pct"/>
            <w:shd w:val="clear" w:color="auto" w:fill="auto"/>
            <w:vAlign w:val="center"/>
          </w:tcPr>
          <w:p w14:paraId="48248AAE">
            <w:pPr>
              <w:rPr>
                <w:color w:val="000000" w:themeColor="text1"/>
                <w14:textFill>
                  <w14:solidFill>
                    <w14:schemeClr w14:val="tx1"/>
                  </w14:solidFill>
                </w14:textFill>
              </w:rPr>
            </w:pPr>
            <w:r>
              <w:rPr>
                <w:rFonts w:hint="eastAsia"/>
              </w:rPr>
              <w:t>★</w:t>
            </w:r>
            <w:r>
              <w:rPr>
                <w:rFonts w:hint="eastAsia"/>
                <w:color w:val="000000" w:themeColor="text1"/>
                <w14:textFill>
                  <w14:solidFill>
                    <w14:schemeClr w14:val="tx1"/>
                  </w14:solidFill>
                </w14:textFill>
              </w:rPr>
              <w:t>药品到货后可扫描外包装上的商品码、追溯码(包括箱码)、(MA码/GS1码)等多种码，快速实现药品批量一次性入库或者能拆零汇总成箱码一次性入库。</w:t>
            </w:r>
          </w:p>
        </w:tc>
        <w:tc>
          <w:tcPr>
            <w:tcW w:w="111" w:type="pct"/>
            <w:vMerge w:val="continue"/>
            <w:shd w:val="clear" w:color="auto" w:fill="auto"/>
            <w:vAlign w:val="center"/>
          </w:tcPr>
          <w:p w14:paraId="4172DE8E">
            <w:pPr>
              <w:rPr>
                <w:color w:val="C00000"/>
              </w:rPr>
            </w:pPr>
          </w:p>
        </w:tc>
        <w:tc>
          <w:tcPr>
            <w:tcW w:w="111" w:type="pct"/>
            <w:vMerge w:val="continue"/>
            <w:shd w:val="clear" w:color="auto" w:fill="auto"/>
            <w:vAlign w:val="center"/>
          </w:tcPr>
          <w:p w14:paraId="44E18AF6">
            <w:pPr>
              <w:rPr>
                <w:color w:val="C00000"/>
              </w:rPr>
            </w:pPr>
          </w:p>
        </w:tc>
      </w:tr>
      <w:tr w14:paraId="0AEC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3F06042D">
            <w:pPr>
              <w:rPr>
                <w:color w:val="000000" w:themeColor="text1"/>
                <w14:textFill>
                  <w14:solidFill>
                    <w14:schemeClr w14:val="tx1"/>
                  </w14:solidFill>
                </w14:textFill>
              </w:rPr>
            </w:pPr>
          </w:p>
        </w:tc>
        <w:tc>
          <w:tcPr>
            <w:tcW w:w="392" w:type="pct"/>
            <w:vMerge w:val="continue"/>
            <w:shd w:val="clear" w:color="auto" w:fill="auto"/>
            <w:vAlign w:val="center"/>
          </w:tcPr>
          <w:p w14:paraId="42F33AD5">
            <w:pPr>
              <w:rPr>
                <w:color w:val="000000" w:themeColor="text1"/>
                <w14:textFill>
                  <w14:solidFill>
                    <w14:schemeClr w14:val="tx1"/>
                  </w14:solidFill>
                </w14:textFill>
              </w:rPr>
            </w:pPr>
          </w:p>
        </w:tc>
        <w:tc>
          <w:tcPr>
            <w:tcW w:w="321" w:type="pct"/>
            <w:vMerge w:val="continue"/>
            <w:shd w:val="clear" w:color="auto" w:fill="auto"/>
            <w:vAlign w:val="center"/>
          </w:tcPr>
          <w:p w14:paraId="2A920338">
            <w:pPr>
              <w:rPr>
                <w:color w:val="000000" w:themeColor="text1"/>
                <w14:textFill>
                  <w14:solidFill>
                    <w14:schemeClr w14:val="tx1"/>
                  </w14:solidFill>
                </w14:textFill>
              </w:rPr>
            </w:pPr>
          </w:p>
        </w:tc>
        <w:tc>
          <w:tcPr>
            <w:tcW w:w="428" w:type="pct"/>
            <w:shd w:val="clear" w:color="auto" w:fill="auto"/>
            <w:vAlign w:val="center"/>
          </w:tcPr>
          <w:p w14:paraId="0BBB30E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药库购退</w:t>
            </w:r>
          </w:p>
        </w:tc>
        <w:tc>
          <w:tcPr>
            <w:tcW w:w="3385" w:type="pct"/>
            <w:shd w:val="clear" w:color="auto" w:fill="auto"/>
            <w:vAlign w:val="center"/>
          </w:tcPr>
          <w:p w14:paraId="4CE094C9">
            <w:pPr>
              <w:rPr>
                <w:color w:val="000000" w:themeColor="text1"/>
                <w14:textFill>
                  <w14:solidFill>
                    <w14:schemeClr w14:val="tx1"/>
                  </w14:solidFill>
                </w14:textFill>
              </w:rPr>
            </w:pPr>
            <w:r>
              <w:rPr>
                <w:rFonts w:hint="eastAsia"/>
                <w:color w:val="000000" w:themeColor="text1"/>
                <w14:textFill>
                  <w14:solidFill>
                    <w14:schemeClr w14:val="tx1"/>
                  </w14:solidFill>
                </w14:textFill>
              </w:rPr>
              <w:t>当发现药品有质量或其他问题需要退给供应商时可扫描外包装上的商品码、追溯码、(MA码/GS1码)等多种码，实现药品快速退货操作</w:t>
            </w:r>
          </w:p>
        </w:tc>
        <w:tc>
          <w:tcPr>
            <w:tcW w:w="111" w:type="pct"/>
            <w:vMerge w:val="continue"/>
            <w:shd w:val="clear" w:color="auto" w:fill="auto"/>
            <w:vAlign w:val="center"/>
          </w:tcPr>
          <w:p w14:paraId="3CA02E22">
            <w:pPr>
              <w:rPr>
                <w:color w:val="C00000"/>
              </w:rPr>
            </w:pPr>
          </w:p>
        </w:tc>
        <w:tc>
          <w:tcPr>
            <w:tcW w:w="111" w:type="pct"/>
            <w:vMerge w:val="continue"/>
            <w:shd w:val="clear" w:color="auto" w:fill="auto"/>
            <w:vAlign w:val="center"/>
          </w:tcPr>
          <w:p w14:paraId="539BF5A0">
            <w:pPr>
              <w:rPr>
                <w:color w:val="C00000"/>
              </w:rPr>
            </w:pPr>
          </w:p>
        </w:tc>
      </w:tr>
      <w:tr w14:paraId="584E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06F8279B">
            <w:pPr>
              <w:rPr>
                <w:color w:val="000000" w:themeColor="text1"/>
                <w14:textFill>
                  <w14:solidFill>
                    <w14:schemeClr w14:val="tx1"/>
                  </w14:solidFill>
                </w14:textFill>
              </w:rPr>
            </w:pPr>
          </w:p>
        </w:tc>
        <w:tc>
          <w:tcPr>
            <w:tcW w:w="392" w:type="pct"/>
            <w:vMerge w:val="continue"/>
            <w:shd w:val="clear" w:color="auto" w:fill="auto"/>
            <w:vAlign w:val="center"/>
          </w:tcPr>
          <w:p w14:paraId="078DF3F5">
            <w:pPr>
              <w:rPr>
                <w:color w:val="000000" w:themeColor="text1"/>
                <w14:textFill>
                  <w14:solidFill>
                    <w14:schemeClr w14:val="tx1"/>
                  </w14:solidFill>
                </w14:textFill>
              </w:rPr>
            </w:pPr>
          </w:p>
        </w:tc>
        <w:tc>
          <w:tcPr>
            <w:tcW w:w="321" w:type="pct"/>
            <w:vMerge w:val="continue"/>
            <w:shd w:val="clear" w:color="auto" w:fill="auto"/>
            <w:vAlign w:val="center"/>
          </w:tcPr>
          <w:p w14:paraId="4C6A6597">
            <w:pPr>
              <w:rPr>
                <w:color w:val="000000" w:themeColor="text1"/>
                <w14:textFill>
                  <w14:solidFill>
                    <w14:schemeClr w14:val="tx1"/>
                  </w14:solidFill>
                </w14:textFill>
              </w:rPr>
            </w:pPr>
          </w:p>
        </w:tc>
        <w:tc>
          <w:tcPr>
            <w:tcW w:w="428" w:type="pct"/>
            <w:shd w:val="clear" w:color="auto" w:fill="auto"/>
            <w:vAlign w:val="center"/>
          </w:tcPr>
          <w:p w14:paraId="3FC57E5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药房领药</w:t>
            </w:r>
          </w:p>
        </w:tc>
        <w:tc>
          <w:tcPr>
            <w:tcW w:w="3385" w:type="pct"/>
            <w:shd w:val="clear" w:color="auto" w:fill="auto"/>
            <w:vAlign w:val="center"/>
          </w:tcPr>
          <w:p w14:paraId="59A2F003">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支持扫描外包装上的商品码、追溯码、(MA码/GS1码)等多种码，快速实现一级库移库到二级科室</w:t>
            </w:r>
          </w:p>
        </w:tc>
        <w:tc>
          <w:tcPr>
            <w:tcW w:w="111" w:type="pct"/>
            <w:vMerge w:val="continue"/>
            <w:shd w:val="clear" w:color="auto" w:fill="auto"/>
            <w:vAlign w:val="center"/>
          </w:tcPr>
          <w:p w14:paraId="4ABD6B5E">
            <w:pPr>
              <w:rPr>
                <w:color w:val="C00000"/>
              </w:rPr>
            </w:pPr>
          </w:p>
        </w:tc>
        <w:tc>
          <w:tcPr>
            <w:tcW w:w="111" w:type="pct"/>
            <w:vMerge w:val="continue"/>
            <w:shd w:val="clear" w:color="auto" w:fill="auto"/>
            <w:vAlign w:val="center"/>
          </w:tcPr>
          <w:p w14:paraId="575CCF77">
            <w:pPr>
              <w:rPr>
                <w:color w:val="C00000"/>
              </w:rPr>
            </w:pPr>
          </w:p>
        </w:tc>
      </w:tr>
      <w:tr w14:paraId="2A6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28D78E00">
            <w:pPr>
              <w:rPr>
                <w:color w:val="000000" w:themeColor="text1"/>
                <w14:textFill>
                  <w14:solidFill>
                    <w14:schemeClr w14:val="tx1"/>
                  </w14:solidFill>
                </w14:textFill>
              </w:rPr>
            </w:pPr>
          </w:p>
        </w:tc>
        <w:tc>
          <w:tcPr>
            <w:tcW w:w="392" w:type="pct"/>
            <w:vMerge w:val="continue"/>
            <w:shd w:val="clear" w:color="auto" w:fill="auto"/>
            <w:vAlign w:val="center"/>
          </w:tcPr>
          <w:p w14:paraId="57784EDE">
            <w:pPr>
              <w:rPr>
                <w:color w:val="000000" w:themeColor="text1"/>
                <w14:textFill>
                  <w14:solidFill>
                    <w14:schemeClr w14:val="tx1"/>
                  </w14:solidFill>
                </w14:textFill>
              </w:rPr>
            </w:pPr>
          </w:p>
        </w:tc>
        <w:tc>
          <w:tcPr>
            <w:tcW w:w="321" w:type="pct"/>
            <w:vMerge w:val="continue"/>
            <w:shd w:val="clear" w:color="auto" w:fill="auto"/>
            <w:vAlign w:val="center"/>
          </w:tcPr>
          <w:p w14:paraId="303CE224">
            <w:pPr>
              <w:rPr>
                <w:color w:val="000000" w:themeColor="text1"/>
                <w14:textFill>
                  <w14:solidFill>
                    <w14:schemeClr w14:val="tx1"/>
                  </w14:solidFill>
                </w14:textFill>
              </w:rPr>
            </w:pPr>
          </w:p>
        </w:tc>
        <w:tc>
          <w:tcPr>
            <w:tcW w:w="428" w:type="pct"/>
            <w:shd w:val="clear" w:color="auto" w:fill="auto"/>
            <w:vAlign w:val="center"/>
          </w:tcPr>
          <w:p w14:paraId="47AAC2B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药房退药</w:t>
            </w:r>
          </w:p>
        </w:tc>
        <w:tc>
          <w:tcPr>
            <w:tcW w:w="3385" w:type="pct"/>
            <w:shd w:val="clear" w:color="auto" w:fill="auto"/>
            <w:vAlign w:val="center"/>
          </w:tcPr>
          <w:p w14:paraId="29CB426B">
            <w:pPr>
              <w:rPr>
                <w:color w:val="000000" w:themeColor="text1"/>
                <w14:textFill>
                  <w14:solidFill>
                    <w14:schemeClr w14:val="tx1"/>
                  </w14:solidFill>
                </w14:textFill>
              </w:rPr>
            </w:pPr>
            <w:r>
              <w:rPr>
                <w:rFonts w:hint="eastAsia"/>
                <w:color w:val="000000" w:themeColor="text1"/>
                <w14:textFill>
                  <w14:solidFill>
                    <w14:schemeClr w14:val="tx1"/>
                  </w14:solidFill>
                </w14:textFill>
              </w:rPr>
              <w:t>临床科室发现有质量问题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多领、领错</w:t>
            </w:r>
            <w:r>
              <w:rPr>
                <w:rFonts w:hint="eastAsia"/>
                <w:color w:val="000000" w:themeColor="text1"/>
                <w14:textFill>
                  <w14:solidFill>
                    <w14:schemeClr w14:val="tx1"/>
                  </w14:solidFill>
                </w14:textFill>
              </w:rPr>
              <w:t>或与实际领取药品不一致时，可扫描外包装上的商品码、追溯码、(MA码/GS1码)等多种码，退还给</w:t>
            </w:r>
            <w:r>
              <w:rPr>
                <w:rFonts w:hint="eastAsia"/>
                <w:color w:val="000000" w:themeColor="text1"/>
                <w:lang w:val="en-US" w:eastAsia="zh-CN"/>
                <w14:textFill>
                  <w14:solidFill>
                    <w14:schemeClr w14:val="tx1"/>
                  </w14:solidFill>
                </w14:textFill>
              </w:rPr>
              <w:t>中心库</w:t>
            </w:r>
            <w:r>
              <w:rPr>
                <w:rFonts w:hint="eastAsia"/>
                <w:color w:val="000000" w:themeColor="text1"/>
                <w14:textFill>
                  <w14:solidFill>
                    <w14:schemeClr w14:val="tx1"/>
                  </w14:solidFill>
                </w14:textFill>
              </w:rPr>
              <w:t>操作</w:t>
            </w:r>
          </w:p>
        </w:tc>
        <w:tc>
          <w:tcPr>
            <w:tcW w:w="111" w:type="pct"/>
            <w:vMerge w:val="continue"/>
            <w:shd w:val="clear" w:color="auto" w:fill="auto"/>
            <w:vAlign w:val="center"/>
          </w:tcPr>
          <w:p w14:paraId="1BFAE3AF">
            <w:pPr>
              <w:rPr>
                <w:color w:val="C00000"/>
              </w:rPr>
            </w:pPr>
          </w:p>
        </w:tc>
        <w:tc>
          <w:tcPr>
            <w:tcW w:w="111" w:type="pct"/>
            <w:vMerge w:val="continue"/>
            <w:shd w:val="clear" w:color="auto" w:fill="auto"/>
            <w:vAlign w:val="center"/>
          </w:tcPr>
          <w:p w14:paraId="0BCBCA01">
            <w:pPr>
              <w:rPr>
                <w:color w:val="C00000"/>
              </w:rPr>
            </w:pPr>
          </w:p>
        </w:tc>
      </w:tr>
      <w:tr w14:paraId="27B3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48FE23FB">
            <w:pPr>
              <w:rPr>
                <w:color w:val="000000" w:themeColor="text1"/>
                <w14:textFill>
                  <w14:solidFill>
                    <w14:schemeClr w14:val="tx1"/>
                  </w14:solidFill>
                </w14:textFill>
              </w:rPr>
            </w:pPr>
          </w:p>
        </w:tc>
        <w:tc>
          <w:tcPr>
            <w:tcW w:w="392" w:type="pct"/>
            <w:vMerge w:val="continue"/>
            <w:shd w:val="clear" w:color="auto" w:fill="auto"/>
            <w:vAlign w:val="center"/>
          </w:tcPr>
          <w:p w14:paraId="0B11911D">
            <w:pPr>
              <w:rPr>
                <w:color w:val="000000" w:themeColor="text1"/>
                <w14:textFill>
                  <w14:solidFill>
                    <w14:schemeClr w14:val="tx1"/>
                  </w14:solidFill>
                </w14:textFill>
              </w:rPr>
            </w:pPr>
          </w:p>
        </w:tc>
        <w:tc>
          <w:tcPr>
            <w:tcW w:w="321" w:type="pct"/>
            <w:vMerge w:val="restart"/>
            <w:shd w:val="clear" w:color="auto" w:fill="auto"/>
            <w:vAlign w:val="center"/>
          </w:tcPr>
          <w:p w14:paraId="3AF2339F">
            <w:pPr>
              <w:rPr>
                <w:color w:val="000000" w:themeColor="text1"/>
                <w14:textFill>
                  <w14:solidFill>
                    <w14:schemeClr w14:val="tx1"/>
                  </w14:solidFill>
                </w14:textFill>
              </w:rPr>
            </w:pPr>
            <w:r>
              <w:rPr>
                <w:rFonts w:hint="eastAsia"/>
                <w:color w:val="000000" w:themeColor="text1"/>
                <w14:textFill>
                  <w14:solidFill>
                    <w14:schemeClr w14:val="tx1"/>
                  </w14:solidFill>
                </w14:textFill>
              </w:rPr>
              <w:t>药房管理</w:t>
            </w:r>
          </w:p>
        </w:tc>
        <w:tc>
          <w:tcPr>
            <w:tcW w:w="428" w:type="pct"/>
            <w:shd w:val="clear" w:color="auto" w:fill="auto"/>
            <w:vAlign w:val="center"/>
          </w:tcPr>
          <w:p w14:paraId="59CC18C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药房采购</w:t>
            </w:r>
          </w:p>
        </w:tc>
        <w:tc>
          <w:tcPr>
            <w:tcW w:w="3385" w:type="pct"/>
            <w:shd w:val="clear" w:color="auto" w:fill="auto"/>
            <w:vAlign w:val="center"/>
          </w:tcPr>
          <w:p w14:paraId="49845B54">
            <w:pPr>
              <w:rPr>
                <w:rFonts w:hint="default" w:eastAsiaTheme="minorEastAsia"/>
                <w:color w:val="000000" w:themeColor="text1"/>
                <w:lang w:val="en-US" w:eastAsia="zh-CN"/>
                <w14:textFill>
                  <w14:solidFill>
                    <w14:schemeClr w14:val="tx1"/>
                  </w14:solidFill>
                </w14:textFill>
              </w:rPr>
            </w:pPr>
            <w:r>
              <w:rPr>
                <w:rFonts w:hint="eastAsia"/>
              </w:rPr>
              <w:t>★</w:t>
            </w:r>
            <w:r>
              <w:rPr>
                <w:rFonts w:hint="eastAsia"/>
                <w:color w:val="000000" w:themeColor="text1"/>
                <w14:textFill>
                  <w14:solidFill>
                    <w14:schemeClr w14:val="tx1"/>
                  </w14:solidFill>
                </w14:textFill>
              </w:rPr>
              <w:t>药品到货后可扫描外包装上的商品码、追溯码、(MA码/GS1码)等多种码，快速实现药品二级库验收入库</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支持二级库房直接采购入库</w:t>
            </w:r>
          </w:p>
        </w:tc>
        <w:tc>
          <w:tcPr>
            <w:tcW w:w="111" w:type="pct"/>
            <w:vMerge w:val="continue"/>
            <w:shd w:val="clear" w:color="auto" w:fill="auto"/>
            <w:vAlign w:val="center"/>
          </w:tcPr>
          <w:p w14:paraId="73C53640">
            <w:pPr>
              <w:rPr>
                <w:color w:val="C00000"/>
              </w:rPr>
            </w:pPr>
          </w:p>
        </w:tc>
        <w:tc>
          <w:tcPr>
            <w:tcW w:w="111" w:type="pct"/>
            <w:vMerge w:val="continue"/>
            <w:shd w:val="clear" w:color="auto" w:fill="auto"/>
            <w:vAlign w:val="center"/>
          </w:tcPr>
          <w:p w14:paraId="317E2256">
            <w:pPr>
              <w:rPr>
                <w:color w:val="C00000"/>
              </w:rPr>
            </w:pPr>
          </w:p>
        </w:tc>
      </w:tr>
      <w:tr w14:paraId="3E01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4FD4667B">
            <w:pPr>
              <w:rPr>
                <w:color w:val="000000" w:themeColor="text1"/>
                <w14:textFill>
                  <w14:solidFill>
                    <w14:schemeClr w14:val="tx1"/>
                  </w14:solidFill>
                </w14:textFill>
              </w:rPr>
            </w:pPr>
          </w:p>
        </w:tc>
        <w:tc>
          <w:tcPr>
            <w:tcW w:w="392" w:type="pct"/>
            <w:vMerge w:val="continue"/>
            <w:shd w:val="clear" w:color="auto" w:fill="auto"/>
            <w:vAlign w:val="center"/>
          </w:tcPr>
          <w:p w14:paraId="4253F3FB">
            <w:pPr>
              <w:rPr>
                <w:color w:val="000000" w:themeColor="text1"/>
                <w14:textFill>
                  <w14:solidFill>
                    <w14:schemeClr w14:val="tx1"/>
                  </w14:solidFill>
                </w14:textFill>
              </w:rPr>
            </w:pPr>
          </w:p>
        </w:tc>
        <w:tc>
          <w:tcPr>
            <w:tcW w:w="321" w:type="pct"/>
            <w:vMerge w:val="continue"/>
            <w:shd w:val="clear" w:color="auto" w:fill="auto"/>
            <w:vAlign w:val="center"/>
          </w:tcPr>
          <w:p w14:paraId="398ABCDC">
            <w:pPr>
              <w:rPr>
                <w:color w:val="000000" w:themeColor="text1"/>
                <w14:textFill>
                  <w14:solidFill>
                    <w14:schemeClr w14:val="tx1"/>
                  </w14:solidFill>
                </w14:textFill>
              </w:rPr>
            </w:pPr>
          </w:p>
        </w:tc>
        <w:tc>
          <w:tcPr>
            <w:tcW w:w="428" w:type="pct"/>
            <w:shd w:val="clear" w:color="auto" w:fill="auto"/>
            <w:vAlign w:val="center"/>
          </w:tcPr>
          <w:p w14:paraId="1CD792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药房购退</w:t>
            </w:r>
          </w:p>
        </w:tc>
        <w:tc>
          <w:tcPr>
            <w:tcW w:w="3385" w:type="pct"/>
            <w:shd w:val="clear" w:color="auto" w:fill="auto"/>
            <w:vAlign w:val="center"/>
          </w:tcPr>
          <w:p w14:paraId="559C5BBD">
            <w:pPr>
              <w:rPr>
                <w:rFonts w:hint="default"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当发现药品有质量或配送与实物不符等问题需要退给</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时可扫描外包装上的商品码、追溯码、(MA码/GS1码)等多种码，实现药品快速退货操作</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支持药房直接退库给供应商</w:t>
            </w:r>
          </w:p>
        </w:tc>
        <w:tc>
          <w:tcPr>
            <w:tcW w:w="111" w:type="pct"/>
            <w:vMerge w:val="continue"/>
            <w:shd w:val="clear" w:color="auto" w:fill="auto"/>
            <w:vAlign w:val="center"/>
          </w:tcPr>
          <w:p w14:paraId="7332BADB">
            <w:pPr>
              <w:rPr>
                <w:color w:val="C00000"/>
              </w:rPr>
            </w:pPr>
          </w:p>
        </w:tc>
        <w:tc>
          <w:tcPr>
            <w:tcW w:w="111" w:type="pct"/>
            <w:vMerge w:val="continue"/>
            <w:shd w:val="clear" w:color="auto" w:fill="auto"/>
            <w:vAlign w:val="center"/>
          </w:tcPr>
          <w:p w14:paraId="505BE372">
            <w:pPr>
              <w:rPr>
                <w:color w:val="C00000"/>
              </w:rPr>
            </w:pPr>
          </w:p>
        </w:tc>
      </w:tr>
      <w:tr w14:paraId="5AEF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5A566139">
            <w:pPr>
              <w:rPr>
                <w:color w:val="000000" w:themeColor="text1"/>
                <w14:textFill>
                  <w14:solidFill>
                    <w14:schemeClr w14:val="tx1"/>
                  </w14:solidFill>
                </w14:textFill>
              </w:rPr>
            </w:pPr>
          </w:p>
        </w:tc>
        <w:tc>
          <w:tcPr>
            <w:tcW w:w="392" w:type="pct"/>
            <w:vMerge w:val="continue"/>
            <w:shd w:val="clear" w:color="auto" w:fill="auto"/>
            <w:vAlign w:val="center"/>
          </w:tcPr>
          <w:p w14:paraId="4CE939AE">
            <w:pPr>
              <w:rPr>
                <w:color w:val="000000" w:themeColor="text1"/>
                <w14:textFill>
                  <w14:solidFill>
                    <w14:schemeClr w14:val="tx1"/>
                  </w14:solidFill>
                </w14:textFill>
              </w:rPr>
            </w:pPr>
          </w:p>
        </w:tc>
        <w:tc>
          <w:tcPr>
            <w:tcW w:w="321" w:type="pct"/>
            <w:vMerge w:val="restart"/>
            <w:shd w:val="clear" w:color="auto" w:fill="auto"/>
            <w:vAlign w:val="center"/>
          </w:tcPr>
          <w:p w14:paraId="129C25FF">
            <w:pPr>
              <w:rPr>
                <w:color w:val="000000" w:themeColor="text1"/>
                <w14:textFill>
                  <w14:solidFill>
                    <w14:schemeClr w14:val="tx1"/>
                  </w14:solidFill>
                </w14:textFill>
              </w:rPr>
            </w:pPr>
            <w:r>
              <w:rPr>
                <w:rFonts w:hint="eastAsia"/>
                <w:color w:val="000000" w:themeColor="text1"/>
                <w14:textFill>
                  <w14:solidFill>
                    <w14:schemeClr w14:val="tx1"/>
                  </w14:solidFill>
                </w14:textFill>
              </w:rPr>
              <w:t>库房管理</w:t>
            </w:r>
          </w:p>
        </w:tc>
        <w:tc>
          <w:tcPr>
            <w:tcW w:w="428" w:type="pct"/>
            <w:shd w:val="clear" w:color="auto" w:fill="auto"/>
            <w:vAlign w:val="center"/>
          </w:tcPr>
          <w:p w14:paraId="14F7A69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库存管理</w:t>
            </w:r>
          </w:p>
        </w:tc>
        <w:tc>
          <w:tcPr>
            <w:tcW w:w="3385" w:type="pct"/>
            <w:shd w:val="clear" w:color="auto" w:fill="auto"/>
            <w:vAlign w:val="center"/>
          </w:tcPr>
          <w:p w14:paraId="1C4515D9">
            <w:pPr>
              <w:rPr>
                <w:color w:val="000000" w:themeColor="text1"/>
                <w14:textFill>
                  <w14:solidFill>
                    <w14:schemeClr w14:val="tx1"/>
                  </w14:solidFill>
                </w14:textFill>
              </w:rPr>
            </w:pPr>
            <w:r>
              <w:rPr>
                <w:rFonts w:hint="eastAsia"/>
              </w:rPr>
              <w:t>★</w:t>
            </w:r>
            <w:r>
              <w:rPr>
                <w:rFonts w:hint="eastAsia"/>
                <w:color w:val="000000" w:themeColor="text1"/>
                <w14:textFill>
                  <w14:solidFill>
                    <w14:schemeClr w14:val="tx1"/>
                  </w14:solidFill>
                </w14:textFill>
              </w:rPr>
              <w:t>支持查看全院所有科室（仓库）库存，可按药品名称、规格、厂家等不同条件查询</w:t>
            </w:r>
          </w:p>
        </w:tc>
        <w:tc>
          <w:tcPr>
            <w:tcW w:w="111" w:type="pct"/>
            <w:vMerge w:val="continue"/>
            <w:shd w:val="clear" w:color="auto" w:fill="auto"/>
            <w:vAlign w:val="center"/>
          </w:tcPr>
          <w:p w14:paraId="17097423">
            <w:pPr>
              <w:rPr>
                <w:color w:val="C00000"/>
              </w:rPr>
            </w:pPr>
          </w:p>
        </w:tc>
        <w:tc>
          <w:tcPr>
            <w:tcW w:w="111" w:type="pct"/>
            <w:vMerge w:val="continue"/>
            <w:shd w:val="clear" w:color="auto" w:fill="auto"/>
            <w:vAlign w:val="center"/>
          </w:tcPr>
          <w:p w14:paraId="089D8567">
            <w:pPr>
              <w:rPr>
                <w:color w:val="C00000"/>
              </w:rPr>
            </w:pPr>
          </w:p>
        </w:tc>
      </w:tr>
      <w:tr w14:paraId="2394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010452BF">
            <w:pPr>
              <w:rPr>
                <w:color w:val="000000" w:themeColor="text1"/>
                <w14:textFill>
                  <w14:solidFill>
                    <w14:schemeClr w14:val="tx1"/>
                  </w14:solidFill>
                </w14:textFill>
              </w:rPr>
            </w:pPr>
          </w:p>
        </w:tc>
        <w:tc>
          <w:tcPr>
            <w:tcW w:w="392" w:type="pct"/>
            <w:vMerge w:val="continue"/>
            <w:shd w:val="clear" w:color="auto" w:fill="auto"/>
            <w:vAlign w:val="center"/>
          </w:tcPr>
          <w:p w14:paraId="533EB077">
            <w:pPr>
              <w:rPr>
                <w:color w:val="000000" w:themeColor="text1"/>
                <w14:textFill>
                  <w14:solidFill>
                    <w14:schemeClr w14:val="tx1"/>
                  </w14:solidFill>
                </w14:textFill>
              </w:rPr>
            </w:pPr>
          </w:p>
        </w:tc>
        <w:tc>
          <w:tcPr>
            <w:tcW w:w="321" w:type="pct"/>
            <w:vMerge w:val="continue"/>
            <w:shd w:val="clear" w:color="auto" w:fill="auto"/>
            <w:vAlign w:val="center"/>
          </w:tcPr>
          <w:p w14:paraId="3B632E91">
            <w:pPr>
              <w:rPr>
                <w:color w:val="000000" w:themeColor="text1"/>
                <w14:textFill>
                  <w14:solidFill>
                    <w14:schemeClr w14:val="tx1"/>
                  </w14:solidFill>
                </w14:textFill>
              </w:rPr>
            </w:pPr>
          </w:p>
        </w:tc>
        <w:tc>
          <w:tcPr>
            <w:tcW w:w="428" w:type="pct"/>
            <w:shd w:val="clear" w:color="auto" w:fill="auto"/>
            <w:vAlign w:val="center"/>
          </w:tcPr>
          <w:p w14:paraId="5162E31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药品近效期管理</w:t>
            </w:r>
          </w:p>
        </w:tc>
        <w:tc>
          <w:tcPr>
            <w:tcW w:w="3385" w:type="pct"/>
            <w:shd w:val="clear" w:color="auto" w:fill="auto"/>
            <w:vAlign w:val="center"/>
          </w:tcPr>
          <w:p w14:paraId="520059E0">
            <w:pPr>
              <w:rPr>
                <w:color w:val="000000" w:themeColor="text1"/>
                <w14:textFill>
                  <w14:solidFill>
                    <w14:schemeClr w14:val="tx1"/>
                  </w14:solidFill>
                </w14:textFill>
              </w:rPr>
            </w:pPr>
            <w:r>
              <w:rPr>
                <w:rFonts w:hint="eastAsia"/>
                <w:color w:val="000000" w:themeColor="text1"/>
                <w14:textFill>
                  <w14:solidFill>
                    <w14:schemeClr w14:val="tx1"/>
                  </w14:solidFill>
                </w14:textFill>
              </w:rPr>
              <w:t>对近效期与过期药品进行预警提醒</w:t>
            </w:r>
          </w:p>
        </w:tc>
        <w:tc>
          <w:tcPr>
            <w:tcW w:w="111" w:type="pct"/>
            <w:vMerge w:val="continue"/>
            <w:shd w:val="clear" w:color="auto" w:fill="auto"/>
            <w:vAlign w:val="center"/>
          </w:tcPr>
          <w:p w14:paraId="73B305FD">
            <w:pPr>
              <w:rPr>
                <w:color w:val="C00000"/>
              </w:rPr>
            </w:pPr>
          </w:p>
        </w:tc>
        <w:tc>
          <w:tcPr>
            <w:tcW w:w="111" w:type="pct"/>
            <w:vMerge w:val="continue"/>
            <w:shd w:val="clear" w:color="auto" w:fill="auto"/>
            <w:vAlign w:val="center"/>
          </w:tcPr>
          <w:p w14:paraId="79CBACD2">
            <w:pPr>
              <w:rPr>
                <w:color w:val="C00000"/>
              </w:rPr>
            </w:pPr>
          </w:p>
        </w:tc>
      </w:tr>
      <w:tr w14:paraId="67A0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01B3016A">
            <w:pPr>
              <w:rPr>
                <w:color w:val="000000" w:themeColor="text1"/>
                <w14:textFill>
                  <w14:solidFill>
                    <w14:schemeClr w14:val="tx1"/>
                  </w14:solidFill>
                </w14:textFill>
              </w:rPr>
            </w:pPr>
          </w:p>
        </w:tc>
        <w:tc>
          <w:tcPr>
            <w:tcW w:w="392" w:type="pct"/>
            <w:vMerge w:val="continue"/>
            <w:shd w:val="clear" w:color="auto" w:fill="auto"/>
            <w:vAlign w:val="center"/>
          </w:tcPr>
          <w:p w14:paraId="19D08158">
            <w:pPr>
              <w:rPr>
                <w:color w:val="000000" w:themeColor="text1"/>
                <w14:textFill>
                  <w14:solidFill>
                    <w14:schemeClr w14:val="tx1"/>
                  </w14:solidFill>
                </w14:textFill>
              </w:rPr>
            </w:pPr>
          </w:p>
        </w:tc>
        <w:tc>
          <w:tcPr>
            <w:tcW w:w="321" w:type="pct"/>
            <w:vMerge w:val="continue"/>
            <w:shd w:val="clear" w:color="auto" w:fill="auto"/>
            <w:vAlign w:val="center"/>
          </w:tcPr>
          <w:p w14:paraId="2748EDEB">
            <w:pPr>
              <w:rPr>
                <w:color w:val="000000" w:themeColor="text1"/>
                <w14:textFill>
                  <w14:solidFill>
                    <w14:schemeClr w14:val="tx1"/>
                  </w14:solidFill>
                </w14:textFill>
              </w:rPr>
            </w:pPr>
          </w:p>
        </w:tc>
        <w:tc>
          <w:tcPr>
            <w:tcW w:w="428" w:type="pct"/>
            <w:shd w:val="clear" w:color="auto" w:fill="auto"/>
            <w:vAlign w:val="center"/>
          </w:tcPr>
          <w:p w14:paraId="62F918A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库存预警</w:t>
            </w:r>
          </w:p>
        </w:tc>
        <w:tc>
          <w:tcPr>
            <w:tcW w:w="3385" w:type="pct"/>
            <w:shd w:val="clear" w:color="auto" w:fill="auto"/>
            <w:vAlign w:val="center"/>
          </w:tcPr>
          <w:p w14:paraId="51D070A0">
            <w:pPr>
              <w:rPr>
                <w:color w:val="000000" w:themeColor="text1"/>
                <w14:textFill>
                  <w14:solidFill>
                    <w14:schemeClr w14:val="tx1"/>
                  </w14:solidFill>
                </w14:textFill>
              </w:rPr>
            </w:pPr>
            <w:r>
              <w:rPr>
                <w:rFonts w:hint="eastAsia"/>
                <w:color w:val="000000" w:themeColor="text1"/>
                <w14:textFill>
                  <w14:solidFill>
                    <w14:schemeClr w14:val="tx1"/>
                  </w14:solidFill>
                </w14:textFill>
              </w:rPr>
              <w:t>对药品的库存进行库存下限的预警</w:t>
            </w:r>
          </w:p>
        </w:tc>
        <w:tc>
          <w:tcPr>
            <w:tcW w:w="111" w:type="pct"/>
            <w:vMerge w:val="continue"/>
            <w:shd w:val="clear" w:color="auto" w:fill="auto"/>
            <w:vAlign w:val="center"/>
          </w:tcPr>
          <w:p w14:paraId="7BE1565B">
            <w:pPr>
              <w:rPr>
                <w:color w:val="C00000"/>
              </w:rPr>
            </w:pPr>
          </w:p>
        </w:tc>
        <w:tc>
          <w:tcPr>
            <w:tcW w:w="111" w:type="pct"/>
            <w:vMerge w:val="continue"/>
            <w:shd w:val="clear" w:color="auto" w:fill="auto"/>
            <w:vAlign w:val="center"/>
          </w:tcPr>
          <w:p w14:paraId="003A79D8">
            <w:pPr>
              <w:rPr>
                <w:color w:val="C00000"/>
              </w:rPr>
            </w:pPr>
          </w:p>
        </w:tc>
      </w:tr>
      <w:tr w14:paraId="4441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 w:type="pct"/>
            <w:vMerge w:val="continue"/>
            <w:shd w:val="clear" w:color="auto" w:fill="auto"/>
            <w:noWrap/>
            <w:vAlign w:val="center"/>
          </w:tcPr>
          <w:p w14:paraId="53BDF1EC">
            <w:pPr>
              <w:rPr>
                <w:color w:val="000000" w:themeColor="text1"/>
                <w14:textFill>
                  <w14:solidFill>
                    <w14:schemeClr w14:val="tx1"/>
                  </w14:solidFill>
                </w14:textFill>
              </w:rPr>
            </w:pPr>
          </w:p>
        </w:tc>
        <w:tc>
          <w:tcPr>
            <w:tcW w:w="392" w:type="pct"/>
            <w:vMerge w:val="continue"/>
            <w:shd w:val="clear" w:color="auto" w:fill="auto"/>
            <w:vAlign w:val="center"/>
          </w:tcPr>
          <w:p w14:paraId="76B867DD">
            <w:pPr>
              <w:rPr>
                <w:color w:val="000000" w:themeColor="text1"/>
                <w14:textFill>
                  <w14:solidFill>
                    <w14:schemeClr w14:val="tx1"/>
                  </w14:solidFill>
                </w14:textFill>
              </w:rPr>
            </w:pPr>
          </w:p>
        </w:tc>
        <w:tc>
          <w:tcPr>
            <w:tcW w:w="321" w:type="pct"/>
            <w:shd w:val="clear" w:color="auto" w:fill="auto"/>
            <w:vAlign w:val="center"/>
          </w:tcPr>
          <w:p w14:paraId="31484AC7">
            <w:pPr>
              <w:rPr>
                <w:color w:val="000000" w:themeColor="text1"/>
                <w14:textFill>
                  <w14:solidFill>
                    <w14:schemeClr w14:val="tx1"/>
                  </w14:solidFill>
                </w14:textFill>
              </w:rPr>
            </w:pPr>
            <w:r>
              <w:rPr>
                <w:rFonts w:hint="eastAsia"/>
                <w:color w:val="000000" w:themeColor="text1"/>
                <w14:textFill>
                  <w14:solidFill>
                    <w14:schemeClr w14:val="tx1"/>
                  </w14:solidFill>
                </w14:textFill>
              </w:rPr>
              <w:t>综合查询</w:t>
            </w:r>
          </w:p>
        </w:tc>
        <w:tc>
          <w:tcPr>
            <w:tcW w:w="428" w:type="pct"/>
            <w:shd w:val="clear" w:color="auto" w:fill="auto"/>
            <w:vAlign w:val="center"/>
          </w:tcPr>
          <w:p w14:paraId="1384AD8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综合查询</w:t>
            </w:r>
          </w:p>
        </w:tc>
        <w:tc>
          <w:tcPr>
            <w:tcW w:w="3385" w:type="pct"/>
            <w:shd w:val="clear" w:color="auto" w:fill="auto"/>
            <w:vAlign w:val="center"/>
          </w:tcPr>
          <w:p w14:paraId="0FC9D8DE">
            <w:pPr>
              <w:rPr>
                <w:color w:val="000000" w:themeColor="text1"/>
                <w14:textFill>
                  <w14:solidFill>
                    <w14:schemeClr w14:val="tx1"/>
                  </w14:solidFill>
                </w14:textFill>
              </w:rPr>
            </w:pPr>
            <w:r>
              <w:rPr>
                <w:rFonts w:hint="eastAsia"/>
                <w:color w:val="000000" w:themeColor="text1"/>
                <w14:textFill>
                  <w14:solidFill>
                    <w14:schemeClr w14:val="tx1"/>
                  </w14:solidFill>
                </w14:textFill>
              </w:rPr>
              <w:t>对购进、领药、发药、购退等业务的综合查询，可查询购进日期、单号、数量、价格、药品名称、生产厂家、追溯码、上市许可持有人、批准文号等信息</w:t>
            </w:r>
          </w:p>
        </w:tc>
        <w:tc>
          <w:tcPr>
            <w:tcW w:w="111" w:type="pct"/>
            <w:shd w:val="clear" w:color="auto" w:fill="auto"/>
            <w:vAlign w:val="center"/>
          </w:tcPr>
          <w:p w14:paraId="23149444">
            <w:pPr>
              <w:rPr>
                <w:color w:val="C00000"/>
              </w:rPr>
            </w:pPr>
          </w:p>
        </w:tc>
        <w:tc>
          <w:tcPr>
            <w:tcW w:w="111" w:type="pct"/>
            <w:shd w:val="clear" w:color="auto" w:fill="auto"/>
            <w:vAlign w:val="center"/>
          </w:tcPr>
          <w:p w14:paraId="13BD18BC">
            <w:pPr>
              <w:rPr>
                <w:color w:val="C00000"/>
              </w:rPr>
            </w:pPr>
          </w:p>
        </w:tc>
      </w:tr>
    </w:tbl>
    <w:p w14:paraId="00B30313">
      <w:pPr>
        <w:keepNext w:val="0"/>
        <w:keepLines w:val="0"/>
        <w:pageBreakBefore w:val="0"/>
        <w:widowControl w:val="0"/>
        <w:kinsoku/>
        <w:wordWrap/>
        <w:overflowPunct/>
        <w:topLinePunct w:val="0"/>
        <w:autoSpaceDE/>
        <w:autoSpaceDN/>
        <w:bidi w:val="0"/>
        <w:adjustRightInd/>
        <w:snapToGrid/>
        <w:spacing w:line="440" w:lineRule="exact"/>
        <w:ind w:left="1198" w:leftChars="456" w:hanging="240" w:hangingChars="100"/>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1.以上参数均为本项目要求的最低参数，</w:t>
      </w:r>
      <w:r>
        <w:rPr>
          <w:rFonts w:hint="eastAsia" w:ascii="方正仿宋_GBK" w:hAnsi="方正仿宋_GBK" w:eastAsia="方正仿宋_GBK" w:cs="方正仿宋_GBK"/>
          <w:sz w:val="24"/>
          <w:lang w:val="en-US" w:eastAsia="zh-CN"/>
        </w:rPr>
        <w:t>供应商</w:t>
      </w:r>
      <w:r>
        <w:rPr>
          <w:rFonts w:hint="eastAsia" w:ascii="方正仿宋_GBK" w:hAnsi="方正仿宋_GBK" w:eastAsia="方正仿宋_GBK" w:cs="方正仿宋_GBK"/>
          <w:sz w:val="24"/>
        </w:rPr>
        <w:t>所投产品不得低于相应产品技术参数要求。</w:t>
      </w:r>
    </w:p>
    <w:p w14:paraId="6E899477">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rPr>
        <w:t xml:space="preserve"> </w:t>
      </w:r>
      <w:r>
        <w:rPr>
          <w:rFonts w:hint="eastAsia" w:ascii="方正仿宋_GBK" w:eastAsia="方正仿宋_GBK"/>
          <w:sz w:val="24"/>
        </w:rPr>
        <w:t>带</w:t>
      </w:r>
      <w:r>
        <w:rPr>
          <w:rFonts w:hint="eastAsia" w:ascii="方正仿宋_GBK" w:hAnsi="宋体" w:eastAsia="方正仿宋_GBK" w:cs="宋体"/>
          <w:bCs/>
          <w:sz w:val="24"/>
        </w:rPr>
        <w:sym w:font="Wingdings" w:char="F0AB"/>
      </w:r>
      <w:r>
        <w:rPr>
          <w:rFonts w:hint="eastAsia" w:ascii="方正仿宋_GBK" w:hAnsi="宋体" w:eastAsia="方正仿宋_GBK" w:cs="宋体"/>
          <w:bCs/>
          <w:sz w:val="24"/>
        </w:rPr>
        <w:t>号功能为技术重要指标考核点，需要在</w:t>
      </w:r>
      <w:r>
        <w:rPr>
          <w:rFonts w:hint="eastAsia" w:ascii="方正仿宋_GBK" w:hAnsi="宋体" w:eastAsia="方正仿宋_GBK" w:cs="宋体"/>
          <w:bCs/>
          <w:sz w:val="24"/>
          <w:lang w:val="en-US" w:eastAsia="zh-CN"/>
        </w:rPr>
        <w:t>报名文件</w:t>
      </w:r>
      <w:r>
        <w:rPr>
          <w:rFonts w:hint="eastAsia" w:ascii="方正仿宋_GBK" w:hAnsi="宋体" w:eastAsia="方正仿宋_GBK" w:cs="宋体"/>
          <w:bCs/>
          <w:sz w:val="24"/>
        </w:rPr>
        <w:t>中截图对应。</w:t>
      </w:r>
    </w:p>
    <w:p w14:paraId="2F118BA6">
      <w:pPr>
        <w:keepNext w:val="0"/>
        <w:keepLines w:val="0"/>
        <w:pageBreakBefore w:val="0"/>
        <w:widowControl w:val="0"/>
        <w:kinsoku/>
        <w:wordWrap/>
        <w:overflowPunct/>
        <w:topLinePunct w:val="0"/>
        <w:autoSpaceDE/>
        <w:autoSpaceDN/>
        <w:bidi w:val="0"/>
        <w:adjustRightInd/>
        <w:snapToGrid/>
        <w:spacing w:before="82" w:line="440" w:lineRule="exact"/>
        <w:ind w:left="775" w:right="2760"/>
        <w:textAlignment w:val="auto"/>
        <w:rPr>
          <w:rFonts w:ascii="方正仿宋_GBK" w:hAnsi="方正仿宋_GBK" w:eastAsia="方正仿宋_GBK" w:cs="方正仿宋_GBK"/>
          <w:sz w:val="24"/>
        </w:rPr>
      </w:pPr>
      <w:r>
        <w:rPr>
          <w:rFonts w:hint="eastAsia" w:ascii="方正仿宋_GBK" w:hAnsi="方正仿宋_GBK" w:eastAsia="方正仿宋_GBK" w:cs="方正仿宋_GBK"/>
          <w:spacing w:val="13"/>
          <w:sz w:val="24"/>
        </w:rPr>
        <w:t>联系人：</w:t>
      </w:r>
      <w:r>
        <w:rPr>
          <w:rFonts w:hint="eastAsia" w:ascii="方正仿宋_GBK" w:hAnsi="方正仿宋_GBK" w:eastAsia="方正仿宋_GBK" w:cs="方正仿宋_GBK"/>
          <w:spacing w:val="13"/>
          <w:sz w:val="24"/>
          <w:lang w:val="en-US" w:eastAsia="zh-CN"/>
        </w:rPr>
        <w:t>卢</w:t>
      </w:r>
      <w:r>
        <w:rPr>
          <w:rFonts w:hint="eastAsia" w:ascii="方正仿宋_GBK" w:hAnsi="方正仿宋_GBK" w:eastAsia="方正仿宋_GBK" w:cs="方正仿宋_GBK"/>
          <w:spacing w:val="13"/>
          <w:sz w:val="24"/>
        </w:rPr>
        <w:t>老师</w:t>
      </w:r>
    </w:p>
    <w:p w14:paraId="4F272C68">
      <w:pPr>
        <w:keepNext w:val="0"/>
        <w:keepLines w:val="0"/>
        <w:pageBreakBefore w:val="0"/>
        <w:widowControl w:val="0"/>
        <w:kinsoku/>
        <w:wordWrap/>
        <w:overflowPunct/>
        <w:topLinePunct w:val="0"/>
        <w:autoSpaceDE/>
        <w:autoSpaceDN/>
        <w:bidi w:val="0"/>
        <w:adjustRightInd/>
        <w:snapToGrid/>
        <w:spacing w:line="440" w:lineRule="exact"/>
        <w:ind w:firstLine="768" w:firstLineChars="300"/>
        <w:textAlignment w:val="auto"/>
        <w:rPr>
          <w:rFonts w:hint="default" w:ascii="方正仿宋_GBK" w:hAnsi="方正仿宋_GBK" w:eastAsia="方正仿宋_GBK" w:cs="方正仿宋_GBK"/>
          <w:spacing w:val="8"/>
          <w:sz w:val="24"/>
          <w:lang w:val="en-US" w:eastAsia="zh-CN"/>
        </w:rPr>
      </w:pPr>
      <w:r>
        <w:rPr>
          <w:rFonts w:hint="eastAsia" w:ascii="方正仿宋_GBK" w:hAnsi="方正仿宋_GBK" w:eastAsia="方正仿宋_GBK" w:cs="方正仿宋_GBK"/>
          <w:spacing w:val="8"/>
          <w:sz w:val="24"/>
        </w:rPr>
        <w:t>电  话：</w:t>
      </w:r>
      <w:r>
        <w:rPr>
          <w:rFonts w:hint="eastAsia" w:ascii="方正仿宋_GBK" w:hAnsi="方正仿宋_GBK" w:eastAsia="方正仿宋_GBK" w:cs="方正仿宋_GBK"/>
          <w:spacing w:val="8"/>
          <w:sz w:val="24"/>
          <w:lang w:val="en-US" w:eastAsia="zh-CN"/>
        </w:rPr>
        <w:t>13220226636</w:t>
      </w:r>
    </w:p>
    <w:p w14:paraId="2096F341">
      <w:pPr>
        <w:spacing w:line="240" w:lineRule="exact"/>
        <w:rPr>
          <w:rFonts w:hint="eastAsia" w:ascii="方正仿宋_GBK" w:hAnsi="方正仿宋_GBK" w:eastAsia="方正仿宋_GBK" w:cs="方正仿宋_GBK"/>
          <w:sz w:val="24"/>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roman"/>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5FC0">
    <w:pPr>
      <w:pStyle w:val="14"/>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9A97">
    <w:pPr>
      <w:pStyle w:val="1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B5F0">
    <w:pPr>
      <w:pStyle w:val="14"/>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F79F">
    <w:pPr>
      <w:pStyle w:val="1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14B1">
    <w:pPr>
      <w:pStyle w:val="1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1207">
    <w:pPr>
      <w:pStyle w:val="1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432"/>
        </w:tabs>
        <w:ind w:left="432" w:hanging="432"/>
      </w:pPr>
      <w:rPr>
        <w:rFonts w:ascii="Arial" w:hAnsi="Arial"/>
      </w:rPr>
    </w:lvl>
    <w:lvl w:ilvl="1" w:tentative="0">
      <w:start w:val="1"/>
      <w:numFmt w:val="decimal"/>
      <w:pStyle w:val="3"/>
      <w:lvlText w:val="%1.%2"/>
      <w:lvlJc w:val="left"/>
      <w:pPr>
        <w:tabs>
          <w:tab w:val="left" w:pos="576"/>
        </w:tabs>
        <w:ind w:left="576" w:hanging="576"/>
      </w:pPr>
      <w:rPr>
        <w:rFonts w:ascii="Arial" w:hAnsi="Arial"/>
      </w:rPr>
    </w:lvl>
    <w:lvl w:ilvl="2" w:tentative="0">
      <w:start w:val="1"/>
      <w:numFmt w:val="decimal"/>
      <w:lvlText w:val="%1.%2.%3"/>
      <w:lvlJc w:val="left"/>
      <w:pPr>
        <w:tabs>
          <w:tab w:val="left" w:pos="1712"/>
        </w:tabs>
        <w:ind w:left="1712" w:hanging="720"/>
      </w:pPr>
      <w:rPr>
        <w:rFonts w:ascii="Arial" w:hAnsi="Arial"/>
      </w:rPr>
    </w:lvl>
    <w:lvl w:ilvl="3" w:tentative="0">
      <w:start w:val="1"/>
      <w:numFmt w:val="decimal"/>
      <w:lvlText w:val="%1.%2.%3.%4"/>
      <w:lvlJc w:val="left"/>
      <w:pPr>
        <w:tabs>
          <w:tab w:val="left" w:pos="1006"/>
        </w:tabs>
        <w:ind w:left="1006" w:hanging="864"/>
      </w:pPr>
      <w:rPr>
        <w:rFonts w:ascii="Arial" w:hAnsi="Arial"/>
      </w:rPr>
    </w:lvl>
    <w:lvl w:ilvl="4" w:tentative="0">
      <w:start w:val="1"/>
      <w:numFmt w:val="decimal"/>
      <w:lvlText w:val="%1.%2.%3.%4.%5"/>
      <w:lvlJc w:val="left"/>
      <w:pPr>
        <w:tabs>
          <w:tab w:val="left" w:pos="1150"/>
        </w:tabs>
        <w:ind w:left="1150" w:hanging="1008"/>
      </w:pPr>
      <w:rPr>
        <w:rFonts w:ascii="Arial" w:hAnsi="Arial"/>
      </w:rPr>
    </w:lvl>
    <w:lvl w:ilvl="5" w:tentative="0">
      <w:start w:val="1"/>
      <w:numFmt w:val="decimal"/>
      <w:lvlText w:val="%1.%2.%3.%4.%5.%6"/>
      <w:lvlJc w:val="left"/>
      <w:pPr>
        <w:tabs>
          <w:tab w:val="left" w:pos="1152"/>
        </w:tabs>
        <w:ind w:left="1152" w:hanging="1152"/>
      </w:pPr>
      <w:rPr>
        <w:rFonts w:ascii="Arial" w:hAnsi="Arial"/>
      </w:r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40C4C18"/>
    <w:multiLevelType w:val="multilevel"/>
    <w:tmpl w:val="440C4C18"/>
    <w:lvl w:ilvl="0" w:tentative="0">
      <w:start w:val="1"/>
      <w:numFmt w:val="chineseCountingThousand"/>
      <w:suff w:val="space"/>
      <w:lvlText w:val="第%1章"/>
      <w:lvlJc w:val="center"/>
      <w:pPr>
        <w:ind w:left="0" w:firstLine="0"/>
      </w:pPr>
      <w:rPr>
        <w:rFonts w:hint="default" w:ascii="Cambria Math" w:hAnsi="Cambria Math" w:eastAsia="Tahoma"/>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rFonts w:hint="eastAsia" w:ascii="Tahoma" w:hAnsi="Cambria Math" w:eastAsia="Tahoma" w:cs="Cambria Math"/>
        <w:b/>
        <w:bCs w:val="0"/>
        <w:i w:val="0"/>
        <w:iCs w:val="0"/>
        <w:caps w:val="0"/>
        <w:smallCaps w:val="0"/>
        <w:strike w:val="0"/>
        <w:dstrike w:val="0"/>
        <w:vanish w:val="0"/>
        <w:color w:val="000000"/>
        <w:spacing w:val="0"/>
        <w:kern w:val="0"/>
        <w:position w:val="0"/>
        <w:sz w:val="32"/>
        <w:szCs w:val="32"/>
        <w:u w:val="none"/>
        <w:vertAlign w:val="baseline"/>
        <w:lang w:val="en-U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2">
    <w:nsid w:val="60A32B38"/>
    <w:multiLevelType w:val="multilevel"/>
    <w:tmpl w:val="60A32B38"/>
    <w:lvl w:ilvl="0" w:tentative="0">
      <w:start w:val="1"/>
      <w:numFmt w:val="chineseCountingThousand"/>
      <w:pStyle w:val="2"/>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3">
    <w:nsid w:val="60E7DDDD"/>
    <w:multiLevelType w:val="singleLevel"/>
    <w:tmpl w:val="60E7DDDD"/>
    <w:lvl w:ilvl="0" w:tentative="0">
      <w:start w:val="1"/>
      <w:numFmt w:val="chineseCountingThousand"/>
      <w:pStyle w:val="26"/>
      <w:lvlText w:val="%1、"/>
      <w:lvlJc w:val="left"/>
      <w:pPr>
        <w:ind w:left="420" w:hanging="420"/>
      </w:pPr>
    </w:lvl>
  </w:abstractNum>
  <w:num w:numId="1">
    <w:abstractNumId w:val="2"/>
  </w:num>
  <w:num w:numId="2">
    <w:abstractNumId w:val="0"/>
  </w:num>
  <w:num w:numId="3">
    <w:abstractNumId w:val="1"/>
    <w:lvlOverride w:ilvl="0">
      <w:lvl w:ilvl="0" w:tentative="1">
        <w:start w:val="1"/>
        <w:numFmt w:val="chineseCountingThousand"/>
        <w:suff w:val="space"/>
        <w:lvlText w:val="第%1章"/>
        <w:lvlJc w:val="center"/>
        <w:pPr>
          <w:ind w:left="2268" w:firstLine="0"/>
        </w:pPr>
        <w:rPr>
          <w:rFonts w:hint="default"/>
          <w:b/>
          <w:i w:val="0"/>
          <w:sz w:val="32"/>
          <w:szCs w:val="32"/>
        </w:rPr>
      </w:lvl>
    </w:lvlOverride>
    <w:lvlOverride w:ilvl="1">
      <w:lvl w:ilvl="1" w:tentative="1">
        <w:start w:val="1"/>
        <w:numFmt w:val="decimal"/>
        <w:isLgl/>
        <w:suff w:val="space"/>
        <w:lvlText w:val="%2"/>
        <w:lvlJc w:val="left"/>
        <w:pPr>
          <w:ind w:left="0" w:firstLine="0"/>
        </w:pPr>
      </w:lvl>
    </w:lvlOverride>
    <w:lvlOverride w:ilvl="2">
      <w:lvl w:ilvl="2" w:tentative="1">
        <w:start w:val="1"/>
        <w:numFmt w:val="decimal"/>
        <w:isLgl/>
        <w:suff w:val="space"/>
        <w:lvlText w:val="%2.%3"/>
        <w:lvlJc w:val="left"/>
        <w:pPr>
          <w:ind w:left="0" w:firstLine="0"/>
        </w:pPr>
        <w:rPr>
          <w:b/>
          <w:bCs/>
        </w:rPr>
      </w:lvl>
    </w:lvlOverride>
    <w:lvlOverride w:ilvl="3">
      <w:lvl w:ilvl="3" w:tentative="1">
        <w:start w:val="1"/>
        <w:numFmt w:val="decimal"/>
        <w:pStyle w:val="5"/>
        <w:isLgl/>
        <w:suff w:val="space"/>
        <w:lvlText w:val="%2.%3.%4"/>
        <w:lvlJc w:val="left"/>
        <w:pPr>
          <w:ind w:left="0" w:firstLine="0"/>
        </w:pPr>
        <w:rPr>
          <w:rFonts w:hint="default" w:ascii="Times New Roman" w:hAnsi="Times New Roman" w:eastAsia="Tahoma" w:cs="Cambria Math"/>
          <w:b/>
          <w:bCs w:val="0"/>
          <w:i w:val="0"/>
          <w:sz w:val="24"/>
          <w:lang w:val="en-US"/>
        </w:rPr>
      </w:lvl>
    </w:lvlOverride>
    <w:lvlOverride w:ilvl="4">
      <w:lvl w:ilvl="4" w:tentative="1">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Override>
    <w:lvlOverride w:ilvl="5">
      <w:lvl w:ilvl="5" w:tentative="1">
        <w:start w:val="1"/>
        <w:numFmt w:val="decimal"/>
        <w:suff w:val="space"/>
        <w:lvlText w:val="%2.%3.%4.%5.%6"/>
        <w:lvlJc w:val="left"/>
        <w:pPr>
          <w:ind w:left="0" w:firstLine="0"/>
        </w:pPr>
        <w:rPr>
          <w:rFonts w:hint="default" w:ascii="Times New Roman" w:hAnsi="Times New Roman" w:eastAsia="Tahoma" w:cs="Times New Roman"/>
          <w:b/>
          <w:i w:val="0"/>
          <w:sz w:val="24"/>
          <w:szCs w:val="22"/>
        </w:rPr>
      </w:lvl>
    </w:lvlOverride>
    <w:lvlOverride w:ilvl="6">
      <w:lvl w:ilvl="6" w:tentative="1">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Override>
    <w:lvlOverride w:ilvl="7">
      <w:lvl w:ilvl="7" w:tentative="1">
        <w:start w:val="1"/>
        <w:numFmt w:val="decimal"/>
        <w:lvlRestart w:val="2"/>
        <w:suff w:val="nothing"/>
        <w:lvlText w:val="表%2.%3-%8   "/>
        <w:lvlJc w:val="left"/>
        <w:pPr>
          <w:ind w:left="0" w:firstLine="0"/>
        </w:pPr>
        <w:rPr>
          <w:rFonts w:hint="default" w:ascii="Cambria Math" w:hAnsi="Cambria Math" w:eastAsia="Tahoma"/>
          <w:sz w:val="21"/>
        </w:rPr>
      </w:lvl>
    </w:lvlOverride>
    <w:lvlOverride w:ilvl="8">
      <w:lvl w:ilvl="8" w:tentative="1">
        <w:start w:val="1"/>
        <w:numFmt w:val="decimal"/>
        <w:lvlRestart w:val="2"/>
        <w:suff w:val="nothing"/>
        <w:lvlText w:val="图%2.%3-%9   "/>
        <w:lvlJc w:val="left"/>
        <w:pPr>
          <w:ind w:left="3686" w:firstLine="0"/>
        </w:pPr>
        <w:rPr>
          <w:rFonts w:hint="default" w:ascii="Cambria Math" w:hAnsi="Cambria Math" w:eastAsia="Arial"/>
          <w:sz w:val="21"/>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0NGYzY2NjYjgxZGFmMzhhNDAzYjk2NmIxZDE2MDgifQ=="/>
  </w:docVars>
  <w:rsids>
    <w:rsidRoot w:val="0067162C"/>
    <w:rsid w:val="00003894"/>
    <w:rsid w:val="000351C6"/>
    <w:rsid w:val="00086DD9"/>
    <w:rsid w:val="000A7B39"/>
    <w:rsid w:val="000B2DBB"/>
    <w:rsid w:val="000C5509"/>
    <w:rsid w:val="0011197F"/>
    <w:rsid w:val="00115F53"/>
    <w:rsid w:val="00122D7D"/>
    <w:rsid w:val="001306F3"/>
    <w:rsid w:val="00132DE9"/>
    <w:rsid w:val="00140872"/>
    <w:rsid w:val="001906E4"/>
    <w:rsid w:val="001A14B9"/>
    <w:rsid w:val="001C5BEE"/>
    <w:rsid w:val="001D4C59"/>
    <w:rsid w:val="00212B7B"/>
    <w:rsid w:val="00241067"/>
    <w:rsid w:val="00300CFA"/>
    <w:rsid w:val="00342FC8"/>
    <w:rsid w:val="00353A9E"/>
    <w:rsid w:val="00357A49"/>
    <w:rsid w:val="003612E3"/>
    <w:rsid w:val="003706F9"/>
    <w:rsid w:val="00373E81"/>
    <w:rsid w:val="003A15BE"/>
    <w:rsid w:val="003A6D1B"/>
    <w:rsid w:val="003C74C0"/>
    <w:rsid w:val="003F5E1A"/>
    <w:rsid w:val="00423C69"/>
    <w:rsid w:val="00434E8B"/>
    <w:rsid w:val="004369CB"/>
    <w:rsid w:val="00455DFF"/>
    <w:rsid w:val="00484205"/>
    <w:rsid w:val="0049061C"/>
    <w:rsid w:val="005156C7"/>
    <w:rsid w:val="005445EF"/>
    <w:rsid w:val="00552CC7"/>
    <w:rsid w:val="0057340C"/>
    <w:rsid w:val="005B1367"/>
    <w:rsid w:val="005B2E73"/>
    <w:rsid w:val="005E10AA"/>
    <w:rsid w:val="005E66E3"/>
    <w:rsid w:val="00651110"/>
    <w:rsid w:val="00652306"/>
    <w:rsid w:val="006525EF"/>
    <w:rsid w:val="0067162C"/>
    <w:rsid w:val="00671C39"/>
    <w:rsid w:val="006958CC"/>
    <w:rsid w:val="006B74D1"/>
    <w:rsid w:val="006C7581"/>
    <w:rsid w:val="006D2925"/>
    <w:rsid w:val="006F2422"/>
    <w:rsid w:val="0070126B"/>
    <w:rsid w:val="00701718"/>
    <w:rsid w:val="00745C8B"/>
    <w:rsid w:val="00785C3C"/>
    <w:rsid w:val="007A796D"/>
    <w:rsid w:val="007F41BD"/>
    <w:rsid w:val="00805444"/>
    <w:rsid w:val="0082460D"/>
    <w:rsid w:val="0084193F"/>
    <w:rsid w:val="008564C0"/>
    <w:rsid w:val="00880F44"/>
    <w:rsid w:val="008C5143"/>
    <w:rsid w:val="008F4DDB"/>
    <w:rsid w:val="00910456"/>
    <w:rsid w:val="00980FAC"/>
    <w:rsid w:val="00997D30"/>
    <w:rsid w:val="00997E5F"/>
    <w:rsid w:val="009B7E20"/>
    <w:rsid w:val="00A22015"/>
    <w:rsid w:val="00A26720"/>
    <w:rsid w:val="00A303A3"/>
    <w:rsid w:val="00A410EE"/>
    <w:rsid w:val="00A54C94"/>
    <w:rsid w:val="00A74762"/>
    <w:rsid w:val="00B058E7"/>
    <w:rsid w:val="00B14E5A"/>
    <w:rsid w:val="00B52870"/>
    <w:rsid w:val="00B86B3E"/>
    <w:rsid w:val="00BD7BC4"/>
    <w:rsid w:val="00CD1059"/>
    <w:rsid w:val="00CD3D73"/>
    <w:rsid w:val="00D176FC"/>
    <w:rsid w:val="00D4280D"/>
    <w:rsid w:val="00D61CB0"/>
    <w:rsid w:val="00D71C61"/>
    <w:rsid w:val="00DD38C8"/>
    <w:rsid w:val="00DD78A5"/>
    <w:rsid w:val="00E0168F"/>
    <w:rsid w:val="00E54C38"/>
    <w:rsid w:val="00E60A9C"/>
    <w:rsid w:val="00E97932"/>
    <w:rsid w:val="00ED1326"/>
    <w:rsid w:val="00EE3F91"/>
    <w:rsid w:val="00F66C17"/>
    <w:rsid w:val="00F740B0"/>
    <w:rsid w:val="01001B66"/>
    <w:rsid w:val="012F5F9F"/>
    <w:rsid w:val="013D76D6"/>
    <w:rsid w:val="014A3A81"/>
    <w:rsid w:val="015E2504"/>
    <w:rsid w:val="016664F6"/>
    <w:rsid w:val="01964270"/>
    <w:rsid w:val="01A93FA3"/>
    <w:rsid w:val="01D86637"/>
    <w:rsid w:val="01F176F8"/>
    <w:rsid w:val="020D5982"/>
    <w:rsid w:val="024261A6"/>
    <w:rsid w:val="02427D29"/>
    <w:rsid w:val="028767CC"/>
    <w:rsid w:val="02A1111E"/>
    <w:rsid w:val="02C10E79"/>
    <w:rsid w:val="02E400CF"/>
    <w:rsid w:val="02E64D83"/>
    <w:rsid w:val="03047FCC"/>
    <w:rsid w:val="0338740A"/>
    <w:rsid w:val="033E3663"/>
    <w:rsid w:val="035621FD"/>
    <w:rsid w:val="03705C84"/>
    <w:rsid w:val="044955CA"/>
    <w:rsid w:val="04607DD8"/>
    <w:rsid w:val="047924AF"/>
    <w:rsid w:val="048E5F99"/>
    <w:rsid w:val="04A44EF6"/>
    <w:rsid w:val="05025509"/>
    <w:rsid w:val="053973EC"/>
    <w:rsid w:val="057E542C"/>
    <w:rsid w:val="058C7E64"/>
    <w:rsid w:val="05DE60F3"/>
    <w:rsid w:val="05FE0636"/>
    <w:rsid w:val="06951562"/>
    <w:rsid w:val="06FC395B"/>
    <w:rsid w:val="06FE40C8"/>
    <w:rsid w:val="072476B5"/>
    <w:rsid w:val="07391925"/>
    <w:rsid w:val="07442078"/>
    <w:rsid w:val="075F32F3"/>
    <w:rsid w:val="078A31BD"/>
    <w:rsid w:val="07C136C9"/>
    <w:rsid w:val="07C531B9"/>
    <w:rsid w:val="07CF245D"/>
    <w:rsid w:val="07E36CAC"/>
    <w:rsid w:val="07E9447F"/>
    <w:rsid w:val="082326F1"/>
    <w:rsid w:val="082E14F6"/>
    <w:rsid w:val="08931509"/>
    <w:rsid w:val="08A234FA"/>
    <w:rsid w:val="08DD44C0"/>
    <w:rsid w:val="08DF02AB"/>
    <w:rsid w:val="08E245DE"/>
    <w:rsid w:val="08E91129"/>
    <w:rsid w:val="092D370C"/>
    <w:rsid w:val="092F2329"/>
    <w:rsid w:val="09414AC1"/>
    <w:rsid w:val="095011A8"/>
    <w:rsid w:val="09731054"/>
    <w:rsid w:val="09B01C47"/>
    <w:rsid w:val="09CD45A7"/>
    <w:rsid w:val="09D41DD9"/>
    <w:rsid w:val="09E71B0D"/>
    <w:rsid w:val="0A1B5312"/>
    <w:rsid w:val="0A2A58E7"/>
    <w:rsid w:val="0A6432BA"/>
    <w:rsid w:val="0A6F1B02"/>
    <w:rsid w:val="0A83766B"/>
    <w:rsid w:val="0AA51E31"/>
    <w:rsid w:val="0AB539B9"/>
    <w:rsid w:val="0AD10EAC"/>
    <w:rsid w:val="0AD656DD"/>
    <w:rsid w:val="0ADD3DA8"/>
    <w:rsid w:val="0AE41BA8"/>
    <w:rsid w:val="0AEF35DA"/>
    <w:rsid w:val="0B014415"/>
    <w:rsid w:val="0B3862C7"/>
    <w:rsid w:val="0B41349E"/>
    <w:rsid w:val="0B424B21"/>
    <w:rsid w:val="0B464895"/>
    <w:rsid w:val="0B84338B"/>
    <w:rsid w:val="0B955598"/>
    <w:rsid w:val="0BBE4AEF"/>
    <w:rsid w:val="0BD04822"/>
    <w:rsid w:val="0BE56CB4"/>
    <w:rsid w:val="0BEB3880"/>
    <w:rsid w:val="0C360B29"/>
    <w:rsid w:val="0C566AD6"/>
    <w:rsid w:val="0D1150F2"/>
    <w:rsid w:val="0D71793F"/>
    <w:rsid w:val="0D8256A8"/>
    <w:rsid w:val="0D887D5E"/>
    <w:rsid w:val="0D907DC5"/>
    <w:rsid w:val="0D927FE1"/>
    <w:rsid w:val="0E0B723B"/>
    <w:rsid w:val="0E273140"/>
    <w:rsid w:val="0E282686"/>
    <w:rsid w:val="0E29532A"/>
    <w:rsid w:val="0E2A021A"/>
    <w:rsid w:val="0E370B89"/>
    <w:rsid w:val="0E63197E"/>
    <w:rsid w:val="0E6B438E"/>
    <w:rsid w:val="0E813BB2"/>
    <w:rsid w:val="0E9E6512"/>
    <w:rsid w:val="0F2742F1"/>
    <w:rsid w:val="0F664E8A"/>
    <w:rsid w:val="0F751969"/>
    <w:rsid w:val="0F9242C9"/>
    <w:rsid w:val="0FC90832"/>
    <w:rsid w:val="0FE01ABB"/>
    <w:rsid w:val="100C4A64"/>
    <w:rsid w:val="10142F30"/>
    <w:rsid w:val="10505FAA"/>
    <w:rsid w:val="107E484D"/>
    <w:rsid w:val="108160EB"/>
    <w:rsid w:val="10963528"/>
    <w:rsid w:val="10AA3894"/>
    <w:rsid w:val="10C364C5"/>
    <w:rsid w:val="10D95F27"/>
    <w:rsid w:val="114C494B"/>
    <w:rsid w:val="11895257"/>
    <w:rsid w:val="12080872"/>
    <w:rsid w:val="122100C4"/>
    <w:rsid w:val="12293277"/>
    <w:rsid w:val="12704D54"/>
    <w:rsid w:val="12837EF9"/>
    <w:rsid w:val="12CC4D44"/>
    <w:rsid w:val="12CE281D"/>
    <w:rsid w:val="12F323D9"/>
    <w:rsid w:val="13023513"/>
    <w:rsid w:val="13AC347F"/>
    <w:rsid w:val="13CB5FFB"/>
    <w:rsid w:val="13F12091"/>
    <w:rsid w:val="141A6C88"/>
    <w:rsid w:val="142301CF"/>
    <w:rsid w:val="143C2365"/>
    <w:rsid w:val="1441006B"/>
    <w:rsid w:val="14553B17"/>
    <w:rsid w:val="14692A8B"/>
    <w:rsid w:val="146C5FA5"/>
    <w:rsid w:val="14DB226E"/>
    <w:rsid w:val="1524326A"/>
    <w:rsid w:val="154673ED"/>
    <w:rsid w:val="154D47EE"/>
    <w:rsid w:val="154E454C"/>
    <w:rsid w:val="154F67B8"/>
    <w:rsid w:val="155618F4"/>
    <w:rsid w:val="156D4E90"/>
    <w:rsid w:val="15A57A97"/>
    <w:rsid w:val="16ED0036"/>
    <w:rsid w:val="17233A97"/>
    <w:rsid w:val="17377504"/>
    <w:rsid w:val="173F352B"/>
    <w:rsid w:val="174A03E2"/>
    <w:rsid w:val="176F6C9D"/>
    <w:rsid w:val="17872239"/>
    <w:rsid w:val="17B60D70"/>
    <w:rsid w:val="17F7713F"/>
    <w:rsid w:val="17F81389"/>
    <w:rsid w:val="18047D2E"/>
    <w:rsid w:val="182F0998"/>
    <w:rsid w:val="18650227"/>
    <w:rsid w:val="1883386F"/>
    <w:rsid w:val="18EB7180"/>
    <w:rsid w:val="19045B0B"/>
    <w:rsid w:val="19257F5C"/>
    <w:rsid w:val="1951048C"/>
    <w:rsid w:val="19B24491"/>
    <w:rsid w:val="19BD50DD"/>
    <w:rsid w:val="19C71013"/>
    <w:rsid w:val="19D07AE3"/>
    <w:rsid w:val="19E55758"/>
    <w:rsid w:val="19ED659F"/>
    <w:rsid w:val="19F65454"/>
    <w:rsid w:val="1A144C3A"/>
    <w:rsid w:val="1A3D1AD9"/>
    <w:rsid w:val="1A42165B"/>
    <w:rsid w:val="1A450189"/>
    <w:rsid w:val="1A845156"/>
    <w:rsid w:val="1A885044"/>
    <w:rsid w:val="1A8B7005"/>
    <w:rsid w:val="1AA9696A"/>
    <w:rsid w:val="1AC47300"/>
    <w:rsid w:val="1ACD2659"/>
    <w:rsid w:val="1AEF6A73"/>
    <w:rsid w:val="1AF01DE0"/>
    <w:rsid w:val="1B0A2420"/>
    <w:rsid w:val="1B1833A9"/>
    <w:rsid w:val="1B4A1EFB"/>
    <w:rsid w:val="1B77635D"/>
    <w:rsid w:val="1BA22ED2"/>
    <w:rsid w:val="1BD23C9F"/>
    <w:rsid w:val="1BD9502D"/>
    <w:rsid w:val="1BE51C24"/>
    <w:rsid w:val="1C215639"/>
    <w:rsid w:val="1C295FB5"/>
    <w:rsid w:val="1C940F54"/>
    <w:rsid w:val="1CC47A8B"/>
    <w:rsid w:val="1D192FFA"/>
    <w:rsid w:val="1D230C56"/>
    <w:rsid w:val="1D61177E"/>
    <w:rsid w:val="1D634930"/>
    <w:rsid w:val="1D846B90"/>
    <w:rsid w:val="1D864D41"/>
    <w:rsid w:val="1D883551"/>
    <w:rsid w:val="1DA974BD"/>
    <w:rsid w:val="1DD41E7A"/>
    <w:rsid w:val="1DDE0F99"/>
    <w:rsid w:val="1DDE692B"/>
    <w:rsid w:val="1E087E4C"/>
    <w:rsid w:val="1E2D1660"/>
    <w:rsid w:val="1E5E181A"/>
    <w:rsid w:val="1E650DFA"/>
    <w:rsid w:val="1E7717D8"/>
    <w:rsid w:val="1E797BD7"/>
    <w:rsid w:val="1F0C1276"/>
    <w:rsid w:val="1F2B3DF2"/>
    <w:rsid w:val="1F3507CD"/>
    <w:rsid w:val="1F89210E"/>
    <w:rsid w:val="1FAF4A23"/>
    <w:rsid w:val="1FC41B50"/>
    <w:rsid w:val="200F53D1"/>
    <w:rsid w:val="204131A1"/>
    <w:rsid w:val="212B632B"/>
    <w:rsid w:val="21494A03"/>
    <w:rsid w:val="21B31E7D"/>
    <w:rsid w:val="21BF7B11"/>
    <w:rsid w:val="21CE3B66"/>
    <w:rsid w:val="220628F4"/>
    <w:rsid w:val="2210107D"/>
    <w:rsid w:val="22405E06"/>
    <w:rsid w:val="225E4170"/>
    <w:rsid w:val="22A85759"/>
    <w:rsid w:val="22C32593"/>
    <w:rsid w:val="22C62EAB"/>
    <w:rsid w:val="22C95DFC"/>
    <w:rsid w:val="22D45AC8"/>
    <w:rsid w:val="23460081"/>
    <w:rsid w:val="238F5B31"/>
    <w:rsid w:val="23971A56"/>
    <w:rsid w:val="239D28E7"/>
    <w:rsid w:val="23BC49B1"/>
    <w:rsid w:val="23D121BC"/>
    <w:rsid w:val="23DA5DE6"/>
    <w:rsid w:val="23E911A2"/>
    <w:rsid w:val="24092228"/>
    <w:rsid w:val="24397EB7"/>
    <w:rsid w:val="244D65B8"/>
    <w:rsid w:val="24793926"/>
    <w:rsid w:val="248A5117"/>
    <w:rsid w:val="24A42D83"/>
    <w:rsid w:val="24D40A88"/>
    <w:rsid w:val="24F609FE"/>
    <w:rsid w:val="255045B2"/>
    <w:rsid w:val="25A201EA"/>
    <w:rsid w:val="25AC5561"/>
    <w:rsid w:val="25DD2A94"/>
    <w:rsid w:val="25EB42DB"/>
    <w:rsid w:val="26113AC8"/>
    <w:rsid w:val="26127ABA"/>
    <w:rsid w:val="26263565"/>
    <w:rsid w:val="2632590A"/>
    <w:rsid w:val="265359DC"/>
    <w:rsid w:val="268169ED"/>
    <w:rsid w:val="26B23600"/>
    <w:rsid w:val="273B6B9C"/>
    <w:rsid w:val="275C3465"/>
    <w:rsid w:val="27631ADB"/>
    <w:rsid w:val="27C76682"/>
    <w:rsid w:val="27D94D34"/>
    <w:rsid w:val="27E23613"/>
    <w:rsid w:val="27E40FE2"/>
    <w:rsid w:val="27FE6547"/>
    <w:rsid w:val="28170FA1"/>
    <w:rsid w:val="283E4055"/>
    <w:rsid w:val="284D1D08"/>
    <w:rsid w:val="285E4368"/>
    <w:rsid w:val="289522DC"/>
    <w:rsid w:val="28C349D2"/>
    <w:rsid w:val="28F434A6"/>
    <w:rsid w:val="28FB3514"/>
    <w:rsid w:val="2906152F"/>
    <w:rsid w:val="290B259E"/>
    <w:rsid w:val="29416079"/>
    <w:rsid w:val="29A46C7B"/>
    <w:rsid w:val="29BA649E"/>
    <w:rsid w:val="2A44045E"/>
    <w:rsid w:val="2A4E29F4"/>
    <w:rsid w:val="2A500BB0"/>
    <w:rsid w:val="2A816FBC"/>
    <w:rsid w:val="2AA8279A"/>
    <w:rsid w:val="2AD90BA6"/>
    <w:rsid w:val="2B045839"/>
    <w:rsid w:val="2B473D61"/>
    <w:rsid w:val="2B595843"/>
    <w:rsid w:val="2B940F71"/>
    <w:rsid w:val="2B9C0922"/>
    <w:rsid w:val="2BAA42F0"/>
    <w:rsid w:val="2BAE2033"/>
    <w:rsid w:val="2BAF7DBD"/>
    <w:rsid w:val="2BBE2429"/>
    <w:rsid w:val="2BE76FFA"/>
    <w:rsid w:val="2BE772F2"/>
    <w:rsid w:val="2C365B84"/>
    <w:rsid w:val="2C683C29"/>
    <w:rsid w:val="2C9C42D9"/>
    <w:rsid w:val="2CFF5663"/>
    <w:rsid w:val="2D2D6F87"/>
    <w:rsid w:val="2D60735C"/>
    <w:rsid w:val="2D9D5DDA"/>
    <w:rsid w:val="2DB84BC4"/>
    <w:rsid w:val="2DC25921"/>
    <w:rsid w:val="2DCC2C44"/>
    <w:rsid w:val="2DF67CC1"/>
    <w:rsid w:val="2E24482E"/>
    <w:rsid w:val="2E642E7C"/>
    <w:rsid w:val="2EB15996"/>
    <w:rsid w:val="2EEB534C"/>
    <w:rsid w:val="2EF93327"/>
    <w:rsid w:val="2F150F36"/>
    <w:rsid w:val="2F6A2714"/>
    <w:rsid w:val="2F6F7D2B"/>
    <w:rsid w:val="2F8530AA"/>
    <w:rsid w:val="30254242"/>
    <w:rsid w:val="306058C5"/>
    <w:rsid w:val="30654512"/>
    <w:rsid w:val="306E7FE2"/>
    <w:rsid w:val="306F3931"/>
    <w:rsid w:val="30AC78FD"/>
    <w:rsid w:val="30BA6EE7"/>
    <w:rsid w:val="313D74B6"/>
    <w:rsid w:val="31B576F3"/>
    <w:rsid w:val="31C629B8"/>
    <w:rsid w:val="31D976DD"/>
    <w:rsid w:val="321831DC"/>
    <w:rsid w:val="323D5EBE"/>
    <w:rsid w:val="32717916"/>
    <w:rsid w:val="329A2464"/>
    <w:rsid w:val="32B731F8"/>
    <w:rsid w:val="33264BA4"/>
    <w:rsid w:val="336E3E55"/>
    <w:rsid w:val="337F42B4"/>
    <w:rsid w:val="33C65A3F"/>
    <w:rsid w:val="33E2248A"/>
    <w:rsid w:val="341E7629"/>
    <w:rsid w:val="34360E17"/>
    <w:rsid w:val="343C14CF"/>
    <w:rsid w:val="343F10D3"/>
    <w:rsid w:val="344A76BE"/>
    <w:rsid w:val="344B3FBD"/>
    <w:rsid w:val="3462058D"/>
    <w:rsid w:val="348A2F11"/>
    <w:rsid w:val="354457B6"/>
    <w:rsid w:val="355344E3"/>
    <w:rsid w:val="35761EDF"/>
    <w:rsid w:val="35887450"/>
    <w:rsid w:val="35D46B3A"/>
    <w:rsid w:val="363B44C3"/>
    <w:rsid w:val="36405F7D"/>
    <w:rsid w:val="36637746"/>
    <w:rsid w:val="367F1BF1"/>
    <w:rsid w:val="36981915"/>
    <w:rsid w:val="3699568D"/>
    <w:rsid w:val="36CE17DB"/>
    <w:rsid w:val="36F31241"/>
    <w:rsid w:val="370838C5"/>
    <w:rsid w:val="37367E0C"/>
    <w:rsid w:val="374750E9"/>
    <w:rsid w:val="376D5B2B"/>
    <w:rsid w:val="37DE1926"/>
    <w:rsid w:val="37FB65FF"/>
    <w:rsid w:val="382947EF"/>
    <w:rsid w:val="382D42DF"/>
    <w:rsid w:val="383F28D9"/>
    <w:rsid w:val="38795776"/>
    <w:rsid w:val="391B0D76"/>
    <w:rsid w:val="3921284E"/>
    <w:rsid w:val="39454945"/>
    <w:rsid w:val="397653E2"/>
    <w:rsid w:val="398268AC"/>
    <w:rsid w:val="398E2027"/>
    <w:rsid w:val="39CC2C38"/>
    <w:rsid w:val="39ED1F78"/>
    <w:rsid w:val="3A0948D8"/>
    <w:rsid w:val="3A116D63"/>
    <w:rsid w:val="3A296D28"/>
    <w:rsid w:val="3A4F4B21"/>
    <w:rsid w:val="3ACC5F99"/>
    <w:rsid w:val="3AEA64B7"/>
    <w:rsid w:val="3B1F2605"/>
    <w:rsid w:val="3B7A5A8D"/>
    <w:rsid w:val="3B8162BF"/>
    <w:rsid w:val="3B893F22"/>
    <w:rsid w:val="3BB86370"/>
    <w:rsid w:val="3BC07357"/>
    <w:rsid w:val="3BC51D42"/>
    <w:rsid w:val="3BDF3DFC"/>
    <w:rsid w:val="3C4E7F1D"/>
    <w:rsid w:val="3C53008C"/>
    <w:rsid w:val="3C577B7C"/>
    <w:rsid w:val="3C6B4BC6"/>
    <w:rsid w:val="3CA6640B"/>
    <w:rsid w:val="3CAF1767"/>
    <w:rsid w:val="3CBD7574"/>
    <w:rsid w:val="3CE31410"/>
    <w:rsid w:val="3CE77152"/>
    <w:rsid w:val="3D0E357C"/>
    <w:rsid w:val="3D2C1009"/>
    <w:rsid w:val="3D4C19E2"/>
    <w:rsid w:val="3D6562C9"/>
    <w:rsid w:val="3D6E48A5"/>
    <w:rsid w:val="3DDF23BD"/>
    <w:rsid w:val="3DF80EEB"/>
    <w:rsid w:val="3E4405D4"/>
    <w:rsid w:val="3E6E11AD"/>
    <w:rsid w:val="3EC86B10"/>
    <w:rsid w:val="3F0538C0"/>
    <w:rsid w:val="3F4343E8"/>
    <w:rsid w:val="3F4D1258"/>
    <w:rsid w:val="3F7942AE"/>
    <w:rsid w:val="3F9115F7"/>
    <w:rsid w:val="3F9609BC"/>
    <w:rsid w:val="3FDD2A8F"/>
    <w:rsid w:val="3FE07E89"/>
    <w:rsid w:val="3FFA53EF"/>
    <w:rsid w:val="3FFB4CC3"/>
    <w:rsid w:val="400E2C48"/>
    <w:rsid w:val="401A15ED"/>
    <w:rsid w:val="40363F4D"/>
    <w:rsid w:val="403A3A3D"/>
    <w:rsid w:val="407B7DCC"/>
    <w:rsid w:val="40B90E06"/>
    <w:rsid w:val="41177224"/>
    <w:rsid w:val="41287D39"/>
    <w:rsid w:val="41406E31"/>
    <w:rsid w:val="414C1C7A"/>
    <w:rsid w:val="415B3C6B"/>
    <w:rsid w:val="416949F0"/>
    <w:rsid w:val="417D0085"/>
    <w:rsid w:val="418F0497"/>
    <w:rsid w:val="41A31D74"/>
    <w:rsid w:val="421358B6"/>
    <w:rsid w:val="4219012C"/>
    <w:rsid w:val="42366486"/>
    <w:rsid w:val="42404E3E"/>
    <w:rsid w:val="42450AD7"/>
    <w:rsid w:val="424B3CDF"/>
    <w:rsid w:val="42646CE8"/>
    <w:rsid w:val="42702814"/>
    <w:rsid w:val="42957651"/>
    <w:rsid w:val="429C278D"/>
    <w:rsid w:val="42C27BE5"/>
    <w:rsid w:val="42D15A3B"/>
    <w:rsid w:val="42D87A3F"/>
    <w:rsid w:val="42F779C3"/>
    <w:rsid w:val="43160791"/>
    <w:rsid w:val="43256DF8"/>
    <w:rsid w:val="436F39FE"/>
    <w:rsid w:val="43943464"/>
    <w:rsid w:val="43997A08"/>
    <w:rsid w:val="43D92AC1"/>
    <w:rsid w:val="43D9531B"/>
    <w:rsid w:val="43E53CC0"/>
    <w:rsid w:val="43F92DD9"/>
    <w:rsid w:val="440525B4"/>
    <w:rsid w:val="4470157F"/>
    <w:rsid w:val="449B53D1"/>
    <w:rsid w:val="44B813D4"/>
    <w:rsid w:val="44E81CBA"/>
    <w:rsid w:val="4508235C"/>
    <w:rsid w:val="453273D9"/>
    <w:rsid w:val="454A3C7C"/>
    <w:rsid w:val="45680061"/>
    <w:rsid w:val="45774DEB"/>
    <w:rsid w:val="459F064A"/>
    <w:rsid w:val="45A41335"/>
    <w:rsid w:val="45B1654F"/>
    <w:rsid w:val="45CA09C4"/>
    <w:rsid w:val="45DC74B6"/>
    <w:rsid w:val="46252A99"/>
    <w:rsid w:val="46454EEA"/>
    <w:rsid w:val="46616417"/>
    <w:rsid w:val="46A902D3"/>
    <w:rsid w:val="46AE0CE1"/>
    <w:rsid w:val="46B05AC2"/>
    <w:rsid w:val="4722443E"/>
    <w:rsid w:val="47617B01"/>
    <w:rsid w:val="47775577"/>
    <w:rsid w:val="47865478"/>
    <w:rsid w:val="47924093"/>
    <w:rsid w:val="47BE31A6"/>
    <w:rsid w:val="48315726"/>
    <w:rsid w:val="4840005F"/>
    <w:rsid w:val="484418FD"/>
    <w:rsid w:val="48474F49"/>
    <w:rsid w:val="48645AFB"/>
    <w:rsid w:val="48825F81"/>
    <w:rsid w:val="48F10088"/>
    <w:rsid w:val="48F549A5"/>
    <w:rsid w:val="49094E01"/>
    <w:rsid w:val="49214B30"/>
    <w:rsid w:val="49400E3C"/>
    <w:rsid w:val="499D59D5"/>
    <w:rsid w:val="49A63EF1"/>
    <w:rsid w:val="49B20AE8"/>
    <w:rsid w:val="49BB4260"/>
    <w:rsid w:val="49BC038F"/>
    <w:rsid w:val="49FB302B"/>
    <w:rsid w:val="4A0A0924"/>
    <w:rsid w:val="4A55496D"/>
    <w:rsid w:val="4A6A13C3"/>
    <w:rsid w:val="4A742241"/>
    <w:rsid w:val="4A8E50B1"/>
    <w:rsid w:val="4A94568E"/>
    <w:rsid w:val="4AC22FAD"/>
    <w:rsid w:val="4B1A4B97"/>
    <w:rsid w:val="4B3F2425"/>
    <w:rsid w:val="4B553124"/>
    <w:rsid w:val="4B5A1437"/>
    <w:rsid w:val="4B726781"/>
    <w:rsid w:val="4BAE7138"/>
    <w:rsid w:val="4BE807F1"/>
    <w:rsid w:val="4BF929FE"/>
    <w:rsid w:val="4C130B7A"/>
    <w:rsid w:val="4C2537F3"/>
    <w:rsid w:val="4C3C694F"/>
    <w:rsid w:val="4C755810"/>
    <w:rsid w:val="4C8061AE"/>
    <w:rsid w:val="4CDB65A8"/>
    <w:rsid w:val="4CEA2347"/>
    <w:rsid w:val="4D206751"/>
    <w:rsid w:val="4D553C64"/>
    <w:rsid w:val="4DBC30BE"/>
    <w:rsid w:val="4DD36F52"/>
    <w:rsid w:val="4DF118DC"/>
    <w:rsid w:val="4E2B0E69"/>
    <w:rsid w:val="4E6C395B"/>
    <w:rsid w:val="4EA85F59"/>
    <w:rsid w:val="4EB613DA"/>
    <w:rsid w:val="4EC07803"/>
    <w:rsid w:val="4EC36842"/>
    <w:rsid w:val="4EF15C0F"/>
    <w:rsid w:val="4EF63225"/>
    <w:rsid w:val="4F0D64AE"/>
    <w:rsid w:val="4F2558B8"/>
    <w:rsid w:val="4F361873"/>
    <w:rsid w:val="4F6C38DD"/>
    <w:rsid w:val="4F9B5B7A"/>
    <w:rsid w:val="4FD67AC8"/>
    <w:rsid w:val="503E1327"/>
    <w:rsid w:val="504D156B"/>
    <w:rsid w:val="50567786"/>
    <w:rsid w:val="505919DC"/>
    <w:rsid w:val="50627285"/>
    <w:rsid w:val="509E3B74"/>
    <w:rsid w:val="50D41344"/>
    <w:rsid w:val="50F55F60"/>
    <w:rsid w:val="50F73284"/>
    <w:rsid w:val="50FE57E0"/>
    <w:rsid w:val="510D2AA8"/>
    <w:rsid w:val="512963B4"/>
    <w:rsid w:val="519D5BDA"/>
    <w:rsid w:val="51C77322"/>
    <w:rsid w:val="51FB0B52"/>
    <w:rsid w:val="51FD4A72"/>
    <w:rsid w:val="521210AD"/>
    <w:rsid w:val="526037D7"/>
    <w:rsid w:val="526F6A00"/>
    <w:rsid w:val="52BA4079"/>
    <w:rsid w:val="52C9540D"/>
    <w:rsid w:val="530A54F1"/>
    <w:rsid w:val="532145E9"/>
    <w:rsid w:val="534F5BF3"/>
    <w:rsid w:val="53591FD4"/>
    <w:rsid w:val="53654E1D"/>
    <w:rsid w:val="53981FA0"/>
    <w:rsid w:val="53EA0E7E"/>
    <w:rsid w:val="53F073D5"/>
    <w:rsid w:val="5408557B"/>
    <w:rsid w:val="541A4865"/>
    <w:rsid w:val="5429164F"/>
    <w:rsid w:val="543B7015"/>
    <w:rsid w:val="545E3D46"/>
    <w:rsid w:val="545F0852"/>
    <w:rsid w:val="5479292E"/>
    <w:rsid w:val="54A32305"/>
    <w:rsid w:val="54AE2431"/>
    <w:rsid w:val="54FC530D"/>
    <w:rsid w:val="551F080C"/>
    <w:rsid w:val="55473127"/>
    <w:rsid w:val="557D644E"/>
    <w:rsid w:val="557F21C6"/>
    <w:rsid w:val="55D122F6"/>
    <w:rsid w:val="55F52488"/>
    <w:rsid w:val="56385484"/>
    <w:rsid w:val="565A588A"/>
    <w:rsid w:val="56916CEB"/>
    <w:rsid w:val="569F0646"/>
    <w:rsid w:val="56C36A99"/>
    <w:rsid w:val="56DF6C95"/>
    <w:rsid w:val="56ED315F"/>
    <w:rsid w:val="576F4E59"/>
    <w:rsid w:val="577218B7"/>
    <w:rsid w:val="57C82D1B"/>
    <w:rsid w:val="57C87729"/>
    <w:rsid w:val="57F14ED1"/>
    <w:rsid w:val="58003366"/>
    <w:rsid w:val="582C415B"/>
    <w:rsid w:val="589D72D4"/>
    <w:rsid w:val="58BF6A66"/>
    <w:rsid w:val="592D3CE7"/>
    <w:rsid w:val="593037D7"/>
    <w:rsid w:val="59F0154F"/>
    <w:rsid w:val="5A250E62"/>
    <w:rsid w:val="5A2570B4"/>
    <w:rsid w:val="5A5C0D28"/>
    <w:rsid w:val="5A85323B"/>
    <w:rsid w:val="5A954A0D"/>
    <w:rsid w:val="5A987886"/>
    <w:rsid w:val="5A9F28C8"/>
    <w:rsid w:val="5AB256EC"/>
    <w:rsid w:val="5AC42429"/>
    <w:rsid w:val="5AD47ADD"/>
    <w:rsid w:val="5ADE6535"/>
    <w:rsid w:val="5B070568"/>
    <w:rsid w:val="5B172EA1"/>
    <w:rsid w:val="5B1B0C78"/>
    <w:rsid w:val="5B2335F4"/>
    <w:rsid w:val="5B61411C"/>
    <w:rsid w:val="5B955B74"/>
    <w:rsid w:val="5B960D6C"/>
    <w:rsid w:val="5BAD3E21"/>
    <w:rsid w:val="5BD83072"/>
    <w:rsid w:val="5C0F1DCA"/>
    <w:rsid w:val="5C473312"/>
    <w:rsid w:val="5C4F21B0"/>
    <w:rsid w:val="5C8B2B2D"/>
    <w:rsid w:val="5CD252D1"/>
    <w:rsid w:val="5CE86853"/>
    <w:rsid w:val="5D3804E1"/>
    <w:rsid w:val="5D3C5514"/>
    <w:rsid w:val="5D79399F"/>
    <w:rsid w:val="5D8C1B97"/>
    <w:rsid w:val="5D99194B"/>
    <w:rsid w:val="5DA0717E"/>
    <w:rsid w:val="5DA123A2"/>
    <w:rsid w:val="5DBC1520"/>
    <w:rsid w:val="5DD56D5D"/>
    <w:rsid w:val="5E0C4813"/>
    <w:rsid w:val="5E7B72A3"/>
    <w:rsid w:val="5EB10F16"/>
    <w:rsid w:val="5EB40087"/>
    <w:rsid w:val="5EBD5B0D"/>
    <w:rsid w:val="5F011F2A"/>
    <w:rsid w:val="5F021156"/>
    <w:rsid w:val="5F4C369D"/>
    <w:rsid w:val="5F546472"/>
    <w:rsid w:val="5F610B8F"/>
    <w:rsid w:val="5F6A3428"/>
    <w:rsid w:val="5F7F0DAA"/>
    <w:rsid w:val="5F7F5CB9"/>
    <w:rsid w:val="5F8328B3"/>
    <w:rsid w:val="605E6E7C"/>
    <w:rsid w:val="60BD0047"/>
    <w:rsid w:val="610E2650"/>
    <w:rsid w:val="614C5CD1"/>
    <w:rsid w:val="61834DEC"/>
    <w:rsid w:val="618E3791"/>
    <w:rsid w:val="619A577F"/>
    <w:rsid w:val="62142971"/>
    <w:rsid w:val="628F156F"/>
    <w:rsid w:val="62A36DC8"/>
    <w:rsid w:val="62DA63F9"/>
    <w:rsid w:val="63161C22"/>
    <w:rsid w:val="63164D16"/>
    <w:rsid w:val="63253C81"/>
    <w:rsid w:val="63676048"/>
    <w:rsid w:val="6381193F"/>
    <w:rsid w:val="63A65BE7"/>
    <w:rsid w:val="63B16276"/>
    <w:rsid w:val="63C11BFC"/>
    <w:rsid w:val="63D731CD"/>
    <w:rsid w:val="64634A61"/>
    <w:rsid w:val="64762352"/>
    <w:rsid w:val="649A3DC3"/>
    <w:rsid w:val="64AA08E2"/>
    <w:rsid w:val="64AD2180"/>
    <w:rsid w:val="64BE438D"/>
    <w:rsid w:val="65766A16"/>
    <w:rsid w:val="658253BB"/>
    <w:rsid w:val="65944411"/>
    <w:rsid w:val="6598698C"/>
    <w:rsid w:val="65CB0B10"/>
    <w:rsid w:val="65DC2D1D"/>
    <w:rsid w:val="661D647B"/>
    <w:rsid w:val="6632293D"/>
    <w:rsid w:val="66483136"/>
    <w:rsid w:val="66862C89"/>
    <w:rsid w:val="66E16111"/>
    <w:rsid w:val="6736645D"/>
    <w:rsid w:val="673F17B5"/>
    <w:rsid w:val="676B2854"/>
    <w:rsid w:val="678C2521"/>
    <w:rsid w:val="67A1421E"/>
    <w:rsid w:val="68224C33"/>
    <w:rsid w:val="686F3F38"/>
    <w:rsid w:val="687E00BB"/>
    <w:rsid w:val="68A65864"/>
    <w:rsid w:val="68C57E25"/>
    <w:rsid w:val="68C61A62"/>
    <w:rsid w:val="68CA50AF"/>
    <w:rsid w:val="68CB5ABA"/>
    <w:rsid w:val="69787200"/>
    <w:rsid w:val="697F058F"/>
    <w:rsid w:val="69877444"/>
    <w:rsid w:val="69A9560C"/>
    <w:rsid w:val="69AC09CE"/>
    <w:rsid w:val="69C91131"/>
    <w:rsid w:val="69E5416A"/>
    <w:rsid w:val="69E91EAC"/>
    <w:rsid w:val="6A0E75B3"/>
    <w:rsid w:val="6A1106BA"/>
    <w:rsid w:val="6A535578"/>
    <w:rsid w:val="6A7A6FA8"/>
    <w:rsid w:val="6AAD6A36"/>
    <w:rsid w:val="6AC56475"/>
    <w:rsid w:val="6ACA0BA9"/>
    <w:rsid w:val="6AE61F48"/>
    <w:rsid w:val="6B2036AC"/>
    <w:rsid w:val="6B2F38EF"/>
    <w:rsid w:val="6BA77929"/>
    <w:rsid w:val="6C007039"/>
    <w:rsid w:val="6C265E42"/>
    <w:rsid w:val="6CB23B22"/>
    <w:rsid w:val="6CBD4F2A"/>
    <w:rsid w:val="6CF03552"/>
    <w:rsid w:val="6D396CA7"/>
    <w:rsid w:val="6D543AE1"/>
    <w:rsid w:val="6DE45B61"/>
    <w:rsid w:val="6E0077C5"/>
    <w:rsid w:val="6E0E0C26"/>
    <w:rsid w:val="6E112D3E"/>
    <w:rsid w:val="6E1D4ED5"/>
    <w:rsid w:val="6E3D7D6E"/>
    <w:rsid w:val="6E497F14"/>
    <w:rsid w:val="6E5C7347"/>
    <w:rsid w:val="6F011A46"/>
    <w:rsid w:val="6F2D1B79"/>
    <w:rsid w:val="6F563B40"/>
    <w:rsid w:val="6F8F6751"/>
    <w:rsid w:val="6F977CB5"/>
    <w:rsid w:val="6FD125DD"/>
    <w:rsid w:val="6FDA2EAE"/>
    <w:rsid w:val="6FF9271D"/>
    <w:rsid w:val="706933FF"/>
    <w:rsid w:val="709A7A5C"/>
    <w:rsid w:val="70B609EF"/>
    <w:rsid w:val="70BE53AC"/>
    <w:rsid w:val="710504EC"/>
    <w:rsid w:val="710870BC"/>
    <w:rsid w:val="71101E6C"/>
    <w:rsid w:val="71A878F5"/>
    <w:rsid w:val="71B44B4E"/>
    <w:rsid w:val="71D21478"/>
    <w:rsid w:val="7203633A"/>
    <w:rsid w:val="72520E62"/>
    <w:rsid w:val="7270316B"/>
    <w:rsid w:val="728704B4"/>
    <w:rsid w:val="72B03567"/>
    <w:rsid w:val="73075151"/>
    <w:rsid w:val="73614861"/>
    <w:rsid w:val="736600CA"/>
    <w:rsid w:val="73EC4A73"/>
    <w:rsid w:val="74004C36"/>
    <w:rsid w:val="742F670E"/>
    <w:rsid w:val="74406B6D"/>
    <w:rsid w:val="747B5DF7"/>
    <w:rsid w:val="74980757"/>
    <w:rsid w:val="74A7099A"/>
    <w:rsid w:val="74CF2947"/>
    <w:rsid w:val="75475CD9"/>
    <w:rsid w:val="75A153E9"/>
    <w:rsid w:val="75C94940"/>
    <w:rsid w:val="75E17EDC"/>
    <w:rsid w:val="773A3D47"/>
    <w:rsid w:val="774150D6"/>
    <w:rsid w:val="775C3CBE"/>
    <w:rsid w:val="77780714"/>
    <w:rsid w:val="77810726"/>
    <w:rsid w:val="77FC2DAB"/>
    <w:rsid w:val="785E55D7"/>
    <w:rsid w:val="786D1EFA"/>
    <w:rsid w:val="78A76D46"/>
    <w:rsid w:val="79295E21"/>
    <w:rsid w:val="79330A4E"/>
    <w:rsid w:val="796039A0"/>
    <w:rsid w:val="798B2638"/>
    <w:rsid w:val="79B84D59"/>
    <w:rsid w:val="79DC7338"/>
    <w:rsid w:val="79DF4732"/>
    <w:rsid w:val="79E24222"/>
    <w:rsid w:val="79F53F55"/>
    <w:rsid w:val="7A1C1B59"/>
    <w:rsid w:val="7A574C10"/>
    <w:rsid w:val="7A811C8D"/>
    <w:rsid w:val="7AA95FB1"/>
    <w:rsid w:val="7AC83430"/>
    <w:rsid w:val="7B4500C6"/>
    <w:rsid w:val="7B5C03C1"/>
    <w:rsid w:val="7B737828"/>
    <w:rsid w:val="7B8E1A4B"/>
    <w:rsid w:val="7B9A4DB4"/>
    <w:rsid w:val="7BD35B73"/>
    <w:rsid w:val="7C3D122A"/>
    <w:rsid w:val="7C8C1477"/>
    <w:rsid w:val="7C9729C0"/>
    <w:rsid w:val="7CA51C63"/>
    <w:rsid w:val="7CCA791B"/>
    <w:rsid w:val="7D577CA3"/>
    <w:rsid w:val="7D7B0C16"/>
    <w:rsid w:val="7DC34856"/>
    <w:rsid w:val="7DD32800"/>
    <w:rsid w:val="7E462FD2"/>
    <w:rsid w:val="7E481F4C"/>
    <w:rsid w:val="7E90249F"/>
    <w:rsid w:val="7EAA7A04"/>
    <w:rsid w:val="7F182BC0"/>
    <w:rsid w:val="7F1C3A35"/>
    <w:rsid w:val="7FD5564C"/>
    <w:rsid w:val="7FD55F5D"/>
    <w:rsid w:val="7FF0483F"/>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spacing w:before="120" w:after="120"/>
      <w:jc w:val="center"/>
      <w:outlineLvl w:val="0"/>
    </w:pPr>
    <w:rPr>
      <w:rFonts w:ascii="Tahoma" w:hAnsi="Tahoma" w:eastAsia="Tahoma"/>
      <w:b/>
      <w:kern w:val="44"/>
      <w:sz w:val="32"/>
    </w:rPr>
  </w:style>
  <w:style w:type="paragraph" w:styleId="3">
    <w:name w:val="heading 2"/>
    <w:basedOn w:val="1"/>
    <w:next w:val="1"/>
    <w:link w:val="25"/>
    <w:qFormat/>
    <w:uiPriority w:val="9"/>
    <w:pPr>
      <w:keepNext/>
      <w:keepLines/>
      <w:widowControl/>
      <w:numPr>
        <w:ilvl w:val="1"/>
        <w:numId w:val="2"/>
      </w:numPr>
      <w:spacing w:before="120" w:after="120"/>
      <w:jc w:val="left"/>
      <w:outlineLvl w:val="1"/>
    </w:pPr>
    <w:rPr>
      <w:rFonts w:ascii="宋体" w:hAnsi="宋体" w:eastAsia="微软雅黑" w:cs="宋体"/>
      <w:b/>
      <w:bCs/>
      <w:kern w:val="0"/>
      <w:sz w:val="36"/>
      <w:szCs w:val="36"/>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numPr>
        <w:ilvl w:val="3"/>
        <w:numId w:val="3"/>
      </w:numPr>
      <w:spacing w:line="360" w:lineRule="auto"/>
      <w:outlineLvl w:val="3"/>
    </w:pPr>
    <w:rPr>
      <w:rFonts w:ascii="Tahoma" w:eastAsia="Tahoma"/>
      <w:b/>
      <w:sz w:val="28"/>
      <w:szCs w:val="28"/>
    </w:rPr>
  </w:style>
  <w:style w:type="character" w:default="1" w:styleId="22">
    <w:name w:val="Default Paragraph Font"/>
    <w:autoRedefine/>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6">
    <w:name w:val="样式  + 首行缩进:  2 字符"/>
    <w:basedOn w:val="1"/>
    <w:autoRedefine/>
    <w:qFormat/>
    <w:uiPriority w:val="0"/>
    <w:pPr>
      <w:adjustRightInd w:val="0"/>
      <w:snapToGrid w:val="0"/>
      <w:spacing w:line="360" w:lineRule="auto"/>
      <w:ind w:firstLine="524" w:firstLineChars="200"/>
    </w:pPr>
    <w:rPr>
      <w:rFonts w:cs="Cambria Math"/>
      <w:snapToGrid w:val="0"/>
      <w:spacing w:val="11"/>
    </w:rPr>
  </w:style>
  <w:style w:type="paragraph" w:styleId="7">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8">
    <w:name w:val="annotation text"/>
    <w:basedOn w:val="1"/>
    <w:autoRedefine/>
    <w:semiHidden/>
    <w:unhideWhenUsed/>
    <w:qFormat/>
    <w:uiPriority w:val="99"/>
    <w:pPr>
      <w:jc w:val="left"/>
    </w:pPr>
  </w:style>
  <w:style w:type="paragraph" w:styleId="9">
    <w:name w:val="Body Text"/>
    <w:basedOn w:val="1"/>
    <w:autoRedefine/>
    <w:unhideWhenUsed/>
    <w:qFormat/>
    <w:uiPriority w:val="99"/>
    <w:pPr>
      <w:spacing w:before="100" w:beforeAutospacing="1" w:after="120" w:line="360" w:lineRule="auto"/>
      <w:ind w:firstLine="200" w:firstLineChars="200"/>
    </w:pPr>
    <w:rPr>
      <w:rFonts w:ascii="Arial" w:hAnsi="Arial" w:cs="Arial"/>
      <w:sz w:val="24"/>
      <w:szCs w:val="24"/>
    </w:rPr>
  </w:style>
  <w:style w:type="paragraph" w:styleId="10">
    <w:name w:val="Body Text Indent"/>
    <w:basedOn w:val="1"/>
    <w:autoRedefine/>
    <w:qFormat/>
    <w:uiPriority w:val="0"/>
    <w:pPr>
      <w:spacing w:line="700" w:lineRule="exact"/>
      <w:ind w:left="960"/>
    </w:pPr>
    <w:rPr>
      <w:sz w:val="44"/>
    </w:rPr>
  </w:style>
  <w:style w:type="paragraph" w:styleId="11">
    <w:name w:val="toc 5"/>
    <w:basedOn w:val="1"/>
    <w:next w:val="1"/>
    <w:qFormat/>
    <w:uiPriority w:val="99"/>
    <w:pPr>
      <w:spacing w:line="594" w:lineRule="exact"/>
      <w:jc w:val="left"/>
    </w:pPr>
    <w:rPr>
      <w:rFonts w:eastAsia="方正仿宋_GBK"/>
    </w:rPr>
  </w:style>
  <w:style w:type="paragraph" w:styleId="12">
    <w:name w:val="Date"/>
    <w:basedOn w:val="1"/>
    <w:next w:val="1"/>
    <w:qFormat/>
    <w:uiPriority w:val="0"/>
    <w:rPr>
      <w:sz w:val="28"/>
      <w:szCs w:val="20"/>
    </w:rPr>
  </w:style>
  <w:style w:type="paragraph" w:styleId="13">
    <w:name w:val="Balloon Text"/>
    <w:basedOn w:val="1"/>
    <w:link w:val="33"/>
    <w:autoRedefine/>
    <w:qFormat/>
    <w:uiPriority w:val="0"/>
    <w:rPr>
      <w:rFonts w:ascii="Calibri" w:hAnsi="Calibri" w:eastAsia="宋体" w:cs="Times New Roman"/>
      <w:sz w:val="18"/>
      <w:szCs w:val="18"/>
    </w:rPr>
  </w:style>
  <w:style w:type="paragraph" w:styleId="14">
    <w:name w:val="footer"/>
    <w:basedOn w:val="1"/>
    <w:link w:val="36"/>
    <w:autoRedefine/>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15">
    <w:name w:val="header"/>
    <w:basedOn w:val="1"/>
    <w:link w:val="35"/>
    <w:autoRedefine/>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6">
    <w:name w:val="toc 1"/>
    <w:basedOn w:val="1"/>
    <w:next w:val="1"/>
    <w:semiHidden/>
    <w:unhideWhenUsed/>
    <w:qFormat/>
    <w:uiPriority w:val="39"/>
    <w:pPr>
      <w:widowControl/>
      <w:spacing w:before="120"/>
      <w:jc w:val="left"/>
    </w:pPr>
    <w:rPr>
      <w:rFonts w:hAnsi="宋体" w:eastAsia="微软雅黑" w:cs="宋体"/>
      <w:b/>
      <w:bCs/>
      <w:iCs/>
      <w:kern w:val="0"/>
      <w:sz w:val="24"/>
    </w:rPr>
  </w:style>
  <w:style w:type="paragraph" w:styleId="17">
    <w:name w:val="Normal (Web)"/>
    <w:basedOn w:val="1"/>
    <w:autoRedefine/>
    <w:qFormat/>
    <w:uiPriority w:val="0"/>
    <w:pPr>
      <w:spacing w:beforeAutospacing="1" w:afterAutospacing="1"/>
      <w:jc w:val="left"/>
    </w:pPr>
    <w:rPr>
      <w:rFonts w:cs="Times New Roman"/>
      <w:kern w:val="0"/>
      <w:sz w:val="24"/>
    </w:rPr>
  </w:style>
  <w:style w:type="paragraph" w:styleId="18">
    <w:name w:val="Body Text First Indent"/>
    <w:basedOn w:val="9"/>
    <w:autoRedefine/>
    <w:qFormat/>
    <w:uiPriority w:val="0"/>
    <w:pPr>
      <w:spacing w:line="360" w:lineRule="auto"/>
      <w:ind w:firstLine="420"/>
    </w:pPr>
    <w:rPr>
      <w:rFonts w:ascii="宋体" w:hAnsi="宋体"/>
      <w:sz w:val="24"/>
    </w:rPr>
  </w:style>
  <w:style w:type="paragraph" w:styleId="19">
    <w:name w:val="Body Text First Indent 2"/>
    <w:basedOn w:val="10"/>
    <w:qFormat/>
    <w:uiPriority w:val="0"/>
    <w:pPr>
      <w:spacing w:after="120" w:line="240" w:lineRule="auto"/>
      <w:ind w:left="420" w:leftChars="200" w:firstLine="420" w:firstLineChars="200"/>
    </w:pPr>
    <w:rPr>
      <w:sz w:val="21"/>
    </w:rPr>
  </w:style>
  <w:style w:type="table" w:styleId="21">
    <w:name w:val="Table Grid"/>
    <w:basedOn w:val="20"/>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paragraph" w:customStyle="1" w:styleId="2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5">
    <w:name w:val="标题 2 字符"/>
    <w:basedOn w:val="22"/>
    <w:link w:val="3"/>
    <w:autoRedefine/>
    <w:qFormat/>
    <w:uiPriority w:val="9"/>
    <w:rPr>
      <w:rFonts w:ascii="宋体" w:hAnsi="宋体" w:eastAsia="微软雅黑" w:cs="宋体"/>
      <w:b/>
      <w:bCs/>
      <w:kern w:val="0"/>
      <w:sz w:val="36"/>
      <w:szCs w:val="36"/>
    </w:rPr>
  </w:style>
  <w:style w:type="paragraph" w:customStyle="1" w:styleId="26">
    <w:name w:val="一级标题"/>
    <w:basedOn w:val="1"/>
    <w:autoRedefine/>
    <w:qFormat/>
    <w:uiPriority w:val="0"/>
    <w:pPr>
      <w:numPr>
        <w:ilvl w:val="0"/>
        <w:numId w:val="4"/>
      </w:numPr>
    </w:pPr>
    <w:rPr>
      <w:rFonts w:ascii="仿宋" w:hAnsi="仿宋" w:eastAsia="仿宋"/>
      <w:sz w:val="24"/>
      <w:lang w:eastAsia="zh-Hans"/>
    </w:rPr>
  </w:style>
  <w:style w:type="paragraph" w:customStyle="1" w:styleId="27">
    <w:name w:val="公文-标题"/>
    <w:basedOn w:val="1"/>
    <w:autoRedefine/>
    <w:qFormat/>
    <w:uiPriority w:val="0"/>
    <w:pPr>
      <w:spacing w:before="156" w:beforeLines="50" w:after="156" w:afterLines="50" w:line="540" w:lineRule="exact"/>
      <w:jc w:val="center"/>
    </w:pPr>
    <w:rPr>
      <w:rFonts w:ascii="方正小标宋_GBK" w:eastAsia="方正小标宋_GBK" w:cs="Arial" w:hAnsiTheme="minorEastAsia"/>
      <w:color w:val="333333"/>
      <w:kern w:val="0"/>
      <w:sz w:val="44"/>
      <w:szCs w:val="44"/>
    </w:rPr>
  </w:style>
  <w:style w:type="paragraph" w:customStyle="1" w:styleId="28">
    <w:name w:val="公文-正文"/>
    <w:basedOn w:val="1"/>
    <w:autoRedefine/>
    <w:qFormat/>
    <w:uiPriority w:val="0"/>
    <w:pPr>
      <w:ind w:firstLine="200" w:firstLineChars="200"/>
    </w:pPr>
    <w:rPr>
      <w:rFonts w:ascii="方正仿宋_GBK" w:hAnsi="方正仿宋_GBK" w:eastAsia="方正仿宋_GBK"/>
      <w:sz w:val="32"/>
      <w:szCs w:val="32"/>
    </w:rPr>
  </w:style>
  <w:style w:type="paragraph" w:customStyle="1" w:styleId="29">
    <w:name w:val="公文-标题1"/>
    <w:basedOn w:val="26"/>
    <w:qFormat/>
    <w:uiPriority w:val="0"/>
    <w:rPr>
      <w:rFonts w:eastAsia="方正黑体_GBK"/>
      <w:sz w:val="32"/>
    </w:rPr>
  </w:style>
  <w:style w:type="paragraph" w:customStyle="1" w:styleId="30">
    <w:name w:val="图例"/>
    <w:basedOn w:val="1"/>
    <w:autoRedefine/>
    <w:qFormat/>
    <w:uiPriority w:val="0"/>
    <w:pPr>
      <w:spacing w:before="120" w:after="120" w:line="360" w:lineRule="auto"/>
      <w:jc w:val="center"/>
    </w:pPr>
    <w:rPr>
      <w:rFonts w:ascii="Times New Roman" w:hAnsi="Times New Roman" w:eastAsia="仿宋_GB2312" w:cs="Times New Roman"/>
      <w:b/>
      <w:sz w:val="24"/>
    </w:rPr>
  </w:style>
  <w:style w:type="paragraph" w:styleId="31">
    <w:name w:val="List Paragraph"/>
    <w:basedOn w:val="1"/>
    <w:qFormat/>
    <w:uiPriority w:val="34"/>
    <w:pPr>
      <w:ind w:firstLine="420" w:firstLineChars="200"/>
    </w:pPr>
  </w:style>
  <w:style w:type="paragraph" w:customStyle="1" w:styleId="32">
    <w:name w:val="0-表格内容"/>
    <w:basedOn w:val="1"/>
    <w:autoRedefine/>
    <w:qFormat/>
    <w:uiPriority w:val="0"/>
    <w:pPr>
      <w:widowControl/>
      <w:autoSpaceDN w:val="0"/>
      <w:spacing w:line="400" w:lineRule="exact"/>
      <w:jc w:val="center"/>
    </w:pPr>
    <w:rPr>
      <w:rFonts w:ascii="仿宋" w:hAnsi="仿宋" w:eastAsia="仿宋" w:cs="宋体"/>
      <w:bCs/>
      <w:kern w:val="0"/>
      <w:sz w:val="24"/>
      <w:szCs w:val="24"/>
      <w:lang w:val="zh-CN"/>
    </w:rPr>
  </w:style>
  <w:style w:type="character" w:customStyle="1" w:styleId="33">
    <w:name w:val="批注框文本 字符"/>
    <w:basedOn w:val="22"/>
    <w:link w:val="13"/>
    <w:qFormat/>
    <w:uiPriority w:val="0"/>
    <w:rPr>
      <w:rFonts w:ascii="Calibri" w:hAnsi="Calibri" w:eastAsia="宋体" w:cs="Times New Roman"/>
      <w:sz w:val="18"/>
      <w:szCs w:val="18"/>
    </w:rPr>
  </w:style>
  <w:style w:type="character" w:customStyle="1" w:styleId="34">
    <w:name w:val="NormalCharacter"/>
    <w:autoRedefine/>
    <w:semiHidden/>
    <w:qFormat/>
    <w:uiPriority w:val="0"/>
  </w:style>
  <w:style w:type="character" w:customStyle="1" w:styleId="35">
    <w:name w:val="页眉 字符"/>
    <w:basedOn w:val="22"/>
    <w:link w:val="15"/>
    <w:autoRedefine/>
    <w:qFormat/>
    <w:uiPriority w:val="99"/>
    <w:rPr>
      <w:rFonts w:ascii="方正仿宋_GBK" w:hAnsi="方正宋三简体" w:eastAsia="方正仿宋_GBK" w:cs="方正仿宋_GBK"/>
      <w:kern w:val="0"/>
      <w:sz w:val="18"/>
      <w:szCs w:val="18"/>
    </w:rPr>
  </w:style>
  <w:style w:type="character" w:customStyle="1" w:styleId="36">
    <w:name w:val="页脚 字符"/>
    <w:basedOn w:val="22"/>
    <w:link w:val="14"/>
    <w:autoRedefine/>
    <w:qFormat/>
    <w:uiPriority w:val="99"/>
    <w:rPr>
      <w:rFonts w:ascii="方正仿宋_GBK" w:hAnsi="方正宋三简体" w:eastAsia="方正仿宋_GBK" w:cs="方正仿宋_GBK"/>
      <w:kern w:val="0"/>
      <w:sz w:val="18"/>
      <w:szCs w:val="18"/>
    </w:rPr>
  </w:style>
  <w:style w:type="paragraph" w:customStyle="1" w:styleId="37">
    <w:name w:val="*正文"/>
    <w:basedOn w:val="1"/>
    <w:qFormat/>
    <w:uiPriority w:val="0"/>
    <w:pPr>
      <w:spacing w:line="360" w:lineRule="auto"/>
      <w:ind w:firstLine="480" w:firstLineChars="200"/>
    </w:pPr>
    <w:rPr>
      <w:rFonts w:eastAsia="Tahoma"/>
      <w:szCs w:val="28"/>
    </w:rPr>
  </w:style>
  <w:style w:type="paragraph" w:customStyle="1" w:styleId="38">
    <w:name w:val="列出段落1"/>
    <w:basedOn w:val="1"/>
    <w:autoRedefine/>
    <w:qFormat/>
    <w:uiPriority w:val="0"/>
    <w:pPr>
      <w:ind w:firstLine="420" w:firstLineChars="200"/>
    </w:pPr>
    <w:rPr>
      <w:rFonts w:ascii="Calibri" w:hAnsi="Calibri"/>
      <w:szCs w:val="21"/>
    </w:rPr>
  </w:style>
  <w:style w:type="character" w:customStyle="1" w:styleId="39">
    <w:name w:val="标题 3 字符"/>
    <w:basedOn w:val="22"/>
    <w:link w:val="4"/>
    <w:qFormat/>
    <w:uiPriority w:val="0"/>
    <w:rPr>
      <w:rFonts w:asciiTheme="minorHAnsi" w:hAnsiTheme="minorHAnsi" w:eastAsiaTheme="minorEastAsia" w:cstheme="minorBidi"/>
      <w:b/>
      <w:bCs/>
      <w:kern w:val="2"/>
      <w:sz w:val="32"/>
      <w:szCs w:val="32"/>
    </w:rPr>
  </w:style>
  <w:style w:type="character" w:customStyle="1" w:styleId="40">
    <w:name w:val="Unresolved Mention"/>
    <w:basedOn w:val="22"/>
    <w:autoRedefine/>
    <w:semiHidden/>
    <w:unhideWhenUsed/>
    <w:qFormat/>
    <w:uiPriority w:val="99"/>
    <w:rPr>
      <w:color w:val="605E5C"/>
      <w:shd w:val="clear" w:color="auto" w:fill="E1DFDD"/>
    </w:rPr>
  </w:style>
  <w:style w:type="character" w:customStyle="1" w:styleId="41">
    <w:name w:val="font91"/>
    <w:basedOn w:val="22"/>
    <w:qFormat/>
    <w:uiPriority w:val="0"/>
    <w:rPr>
      <w:rFonts w:hint="eastAsia" w:ascii="宋体" w:hAnsi="宋体" w:eastAsia="宋体" w:cs="宋体"/>
      <w:color w:val="000000"/>
      <w:sz w:val="22"/>
      <w:szCs w:val="22"/>
      <w:u w:val="none"/>
    </w:rPr>
  </w:style>
  <w:style w:type="paragraph" w:customStyle="1" w:styleId="42">
    <w:name w:val="Table Text"/>
    <w:basedOn w:val="1"/>
    <w:semiHidden/>
    <w:qFormat/>
    <w:uiPriority w:val="0"/>
    <w:rPr>
      <w:rFonts w:ascii="华文仿宋" w:hAnsi="华文仿宋" w:eastAsia="华文仿宋" w:cs="华文仿宋"/>
      <w:sz w:val="25"/>
      <w:szCs w:val="25"/>
      <w:lang w:eastAsia="en-US"/>
    </w:rPr>
  </w:style>
  <w:style w:type="table" w:customStyle="1" w:styleId="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933</Words>
  <Characters>997</Characters>
  <Lines>46</Lines>
  <Paragraphs>13</Paragraphs>
  <TotalTime>0</TotalTime>
  <ScaleCrop>false</ScaleCrop>
  <LinksUpToDate>false</LinksUpToDate>
  <CharactersWithSpaces>1001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2023-11-03T05:49:00Z</dcterms:created>
  <dc:creator>Moira Lotus</dc:creator>
  <cp:lastModifiedBy>卢晓轩</cp:lastModifiedBy>
  <cp:lastPrinted>2026-03-25T06:32:00Z</cp:lastPrinted>
  <dcterms:modified xsi:type="dcterms:W3CDTF">2026-04-03T06:19:23Z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B9CAB0323E43443A97B62DA9B6F4FEDF_13</vt:lpwstr>
  </property>
  <property fmtid="{D5CDD505-2E9C-101B-9397-08002B2CF9AE}" pid="4" name="KSOSaveFontToCloudKey">
    <vt:lpwstr>966266744_btnclosed</vt:lpwstr>
  </property>
  <property fmtid="{D5CDD505-2E9C-101B-9397-08002B2CF9AE}" pid="5" name="KSOTemplateDocerSaveRecord">
    <vt:lpwstr>eyJoZGlkIjoiNzJhYTM4MjhjZThhZjU4MDg0YjA4ZDAzZDkxMDFjMWUiLCJ1c2VySWQiOiIxNjgxMzU0NTY4In0=</vt:lpwstr>
  </property>
</Properties>
</file>