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val="en-US" w:eastAsia="zh-CN"/>
        </w:rPr>
        <w:t>设备</w:t>
      </w:r>
      <w:r>
        <w:rPr>
          <w:rFonts w:hint="eastAsia" w:ascii="方正小标宋_GBK" w:hAnsi="方正小标宋_GBK" w:eastAsia="方正小标宋_GBK" w:cs="方正小标宋_GBK"/>
          <w:bCs/>
          <w:sz w:val="30"/>
          <w:szCs w:val="30"/>
        </w:rPr>
        <w:t>类采购公告</w:t>
      </w:r>
      <w:r>
        <w:rPr>
          <w:rFonts w:hint="eastAsia" w:ascii="方正小标宋_GBK" w:hAnsi="方正小标宋_GBK" w:eastAsia="方正小标宋_GBK" w:cs="方正小标宋_GBK"/>
          <w:bCs/>
          <w:sz w:val="30"/>
          <w:szCs w:val="30"/>
          <w:lang w:eastAsia="zh-CN"/>
        </w:rPr>
        <w:t>（</w:t>
      </w:r>
      <w:r>
        <w:rPr>
          <w:rFonts w:hint="eastAsia" w:ascii="方正小标宋_GBK" w:hAnsi="方正小标宋_GBK" w:eastAsia="方正小标宋_GBK" w:cs="方正小标宋_GBK"/>
          <w:bCs/>
          <w:sz w:val="30"/>
          <w:szCs w:val="30"/>
          <w:lang w:val="en-US" w:eastAsia="zh-CN"/>
        </w:rPr>
        <w:t>第二次</w:t>
      </w:r>
      <w:r>
        <w:rPr>
          <w:rFonts w:hint="eastAsia" w:ascii="方正小标宋_GBK" w:hAnsi="方正小标宋_GBK" w:eastAsia="方正小标宋_GBK" w:cs="方正小标宋_GBK"/>
          <w:bCs/>
          <w:sz w:val="30"/>
          <w:szCs w:val="30"/>
          <w:lang w:eastAsia="zh-CN"/>
        </w:rPr>
        <w:t>）</w:t>
      </w:r>
    </w:p>
    <w:p w14:paraId="33D2A6D0">
      <w:pPr>
        <w:spacing w:line="560" w:lineRule="exact"/>
        <w:jc w:val="center"/>
        <w:rPr>
          <w:rFonts w:hint="eastAsia" w:ascii="方正小标宋_GBK" w:hAnsi="方正小标宋_GBK" w:eastAsia="方正小标宋_GBK" w:cs="方正小标宋_GBK"/>
          <w:bCs/>
          <w:sz w:val="30"/>
          <w:szCs w:val="30"/>
        </w:rPr>
      </w:pP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val="en-US" w:eastAsia="zh-CN"/>
        </w:rPr>
        <w:t>医院大渡口院区锅炉房升级改造项目</w:t>
      </w:r>
      <w:r>
        <w:rPr>
          <w:rFonts w:hint="eastAsia" w:ascii="方正小标宋_GBK" w:hAnsi="方正小标宋_GBK" w:eastAsia="方正小标宋_GBK" w:cs="方正小标宋_GBK"/>
          <w:bCs/>
          <w:sz w:val="30"/>
          <w:szCs w:val="30"/>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bookmarkEnd w:id="0"/>
    <w:p w14:paraId="65B4B9A8">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医院大渡口院区锅炉房升级改造项目</w:t>
      </w:r>
    </w:p>
    <w:p w14:paraId="5E164AFD">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CYKF-S2026044</w:t>
      </w:r>
    </w:p>
    <w:p w14:paraId="46DEF747">
      <w:pPr>
        <w:adjustRightInd w:val="0"/>
        <w:snapToGrid w:val="0"/>
        <w:spacing w:line="240" w:lineRule="auto"/>
        <w:ind w:firstLine="482"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三、项目内容：</w:t>
      </w:r>
    </w:p>
    <w:tbl>
      <w:tblPr>
        <w:tblStyle w:val="8"/>
        <w:tblW w:w="49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7"/>
        <w:gridCol w:w="958"/>
        <w:gridCol w:w="1281"/>
        <w:gridCol w:w="1431"/>
        <w:gridCol w:w="1511"/>
        <w:gridCol w:w="1673"/>
      </w:tblGrid>
      <w:tr w14:paraId="6D589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920" w:type="pct"/>
            <w:tcBorders>
              <w:top w:val="single" w:color="auto" w:sz="4" w:space="0"/>
              <w:left w:val="single" w:color="auto" w:sz="4" w:space="0"/>
              <w:right w:val="single" w:color="auto" w:sz="4" w:space="0"/>
            </w:tcBorders>
            <w:noWrap w:val="0"/>
            <w:vAlign w:val="center"/>
          </w:tcPr>
          <w:p w14:paraId="7DA5A6A6">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项目内容</w:t>
            </w:r>
          </w:p>
        </w:tc>
        <w:tc>
          <w:tcPr>
            <w:tcW w:w="570" w:type="pct"/>
            <w:tcBorders>
              <w:top w:val="single" w:color="auto" w:sz="4" w:space="0"/>
              <w:left w:val="single" w:color="auto" w:sz="4" w:space="0"/>
              <w:right w:val="single" w:color="auto" w:sz="4" w:space="0"/>
            </w:tcBorders>
            <w:noWrap w:val="0"/>
            <w:vAlign w:val="center"/>
          </w:tcPr>
          <w:p w14:paraId="2208E25F">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服务期</w:t>
            </w:r>
          </w:p>
        </w:tc>
        <w:tc>
          <w:tcPr>
            <w:tcW w:w="762" w:type="pct"/>
            <w:tcBorders>
              <w:top w:val="single" w:color="auto" w:sz="4" w:space="0"/>
              <w:left w:val="single" w:color="auto" w:sz="4" w:space="0"/>
              <w:right w:val="single" w:color="auto" w:sz="4" w:space="0"/>
            </w:tcBorders>
            <w:noWrap w:val="0"/>
            <w:vAlign w:val="center"/>
          </w:tcPr>
          <w:p w14:paraId="555C9D9E">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预算金额</w:t>
            </w:r>
          </w:p>
          <w:p w14:paraId="06542520">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（万元）</w:t>
            </w:r>
          </w:p>
        </w:tc>
        <w:tc>
          <w:tcPr>
            <w:tcW w:w="851" w:type="pct"/>
            <w:tcBorders>
              <w:top w:val="single" w:color="auto" w:sz="4" w:space="0"/>
              <w:left w:val="single" w:color="auto" w:sz="4" w:space="0"/>
              <w:right w:val="single" w:color="auto" w:sz="4" w:space="0"/>
            </w:tcBorders>
            <w:noWrap w:val="0"/>
            <w:vAlign w:val="center"/>
          </w:tcPr>
          <w:p w14:paraId="190834B5">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投标保证金（元）</w:t>
            </w:r>
          </w:p>
        </w:tc>
        <w:tc>
          <w:tcPr>
            <w:tcW w:w="899" w:type="pct"/>
            <w:tcBorders>
              <w:top w:val="single" w:color="auto" w:sz="4" w:space="0"/>
              <w:left w:val="single" w:color="auto" w:sz="4" w:space="0"/>
              <w:right w:val="single" w:color="auto" w:sz="4" w:space="0"/>
            </w:tcBorders>
            <w:noWrap w:val="0"/>
            <w:vAlign w:val="center"/>
          </w:tcPr>
          <w:p w14:paraId="16A6A9B9">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成交供应商（名）</w:t>
            </w:r>
          </w:p>
        </w:tc>
        <w:tc>
          <w:tcPr>
            <w:tcW w:w="995" w:type="pct"/>
            <w:tcBorders>
              <w:top w:val="single" w:color="auto" w:sz="4" w:space="0"/>
              <w:left w:val="single" w:color="auto" w:sz="4" w:space="0"/>
              <w:right w:val="single" w:color="auto" w:sz="4" w:space="0"/>
            </w:tcBorders>
            <w:noWrap w:val="0"/>
            <w:vAlign w:val="center"/>
          </w:tcPr>
          <w:p w14:paraId="340EC765">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备注</w:t>
            </w:r>
          </w:p>
        </w:tc>
      </w:tr>
      <w:tr w14:paraId="40C60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jc w:val="center"/>
        </w:trPr>
        <w:tc>
          <w:tcPr>
            <w:tcW w:w="920" w:type="pct"/>
            <w:tcBorders>
              <w:top w:val="single" w:color="auto" w:sz="4" w:space="0"/>
              <w:left w:val="single" w:color="auto" w:sz="4" w:space="0"/>
              <w:bottom w:val="single" w:color="auto" w:sz="4" w:space="0"/>
              <w:right w:val="single" w:color="auto" w:sz="4" w:space="0"/>
            </w:tcBorders>
            <w:noWrap w:val="0"/>
            <w:vAlign w:val="center"/>
          </w:tcPr>
          <w:p w14:paraId="3EE8E478">
            <w:pPr>
              <w:adjustRightInd w:val="0"/>
              <w:snapToGrid w:val="0"/>
              <w:spacing w:line="240" w:lineRule="auto"/>
              <w:jc w:val="center"/>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医院大渡口院区锅炉房升级改造</w:t>
            </w:r>
          </w:p>
          <w:p w14:paraId="37AD7101">
            <w:pPr>
              <w:adjustRightInd w:val="0"/>
              <w:snapToGrid w:val="0"/>
              <w:spacing w:line="240" w:lineRule="auto"/>
              <w:jc w:val="center"/>
              <w:rPr>
                <w:rFonts w:hint="default" w:ascii="方正仿宋_GBK" w:hAnsi="方正仿宋_GBK" w:eastAsia="方正仿宋_GBK" w:cs="方正仿宋_GBK"/>
                <w:color w:val="000000" w:themeColor="text1"/>
                <w:sz w:val="24"/>
                <w:szCs w:val="24"/>
                <w:u w:val="none"/>
                <w:lang w:val="en-US" w:eastAsia="zh-CN"/>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项目</w:t>
            </w:r>
          </w:p>
        </w:tc>
        <w:tc>
          <w:tcPr>
            <w:tcW w:w="57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68A0D1E">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单次</w:t>
            </w:r>
          </w:p>
        </w:tc>
        <w:tc>
          <w:tcPr>
            <w:tcW w:w="76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DCF4D14">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sz w:val="24"/>
                <w:szCs w:val="24"/>
                <w:highlight w:val="none"/>
                <w:lang w:val="en-US" w:eastAsia="zh-CN"/>
              </w:rPr>
              <w:t>13.62</w:t>
            </w:r>
          </w:p>
        </w:tc>
        <w:tc>
          <w:tcPr>
            <w:tcW w:w="851" w:type="pct"/>
            <w:tcBorders>
              <w:top w:val="single" w:color="auto" w:sz="4" w:space="0"/>
              <w:left w:val="single" w:color="auto" w:sz="4" w:space="0"/>
              <w:right w:val="single" w:color="auto" w:sz="4" w:space="0"/>
            </w:tcBorders>
            <w:shd w:val="clear" w:color="auto" w:fill="auto"/>
            <w:noWrap w:val="0"/>
            <w:vAlign w:val="center"/>
          </w:tcPr>
          <w:p w14:paraId="3936A4C2">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sz w:val="24"/>
                <w:szCs w:val="24"/>
                <w:highlight w:val="none"/>
                <w:lang w:val="en-US" w:eastAsia="zh-CN"/>
              </w:rPr>
              <w:t>2700.00</w:t>
            </w:r>
          </w:p>
        </w:tc>
        <w:tc>
          <w:tcPr>
            <w:tcW w:w="899" w:type="pct"/>
            <w:tcBorders>
              <w:top w:val="single" w:color="auto" w:sz="4" w:space="0"/>
              <w:left w:val="single" w:color="auto" w:sz="4" w:space="0"/>
              <w:right w:val="single" w:color="auto" w:sz="4" w:space="0"/>
            </w:tcBorders>
            <w:shd w:val="clear" w:color="auto" w:fill="auto"/>
            <w:noWrap w:val="0"/>
            <w:vAlign w:val="center"/>
          </w:tcPr>
          <w:p w14:paraId="605CD1E6">
            <w:pPr>
              <w:pageBreakBefore w:val="0"/>
              <w:numPr>
                <w:ilvl w:val="0"/>
                <w:numId w:val="0"/>
              </w:numPr>
              <w:kinsoku/>
              <w:overflowPunct/>
              <w:topLinePunct w:val="0"/>
              <w:bidi w:val="0"/>
              <w:spacing w:line="360" w:lineRule="exact"/>
              <w:ind w:left="0" w:leftChars="0" w:firstLine="0" w:firstLineChars="0"/>
              <w:jc w:val="center"/>
              <w:textAlignment w:val="auto"/>
              <w:rPr>
                <w:rFonts w:hint="default"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t>1</w:t>
            </w:r>
          </w:p>
        </w:tc>
        <w:tc>
          <w:tcPr>
            <w:tcW w:w="995" w:type="pct"/>
            <w:tcBorders>
              <w:top w:val="single" w:color="auto" w:sz="4" w:space="0"/>
              <w:left w:val="single" w:color="auto" w:sz="4" w:space="0"/>
              <w:right w:val="single" w:color="auto" w:sz="4" w:space="0"/>
            </w:tcBorders>
            <w:shd w:val="clear" w:color="auto" w:fill="auto"/>
            <w:noWrap w:val="0"/>
            <w:vAlign w:val="center"/>
          </w:tcPr>
          <w:p w14:paraId="5AF857FD">
            <w:pPr>
              <w:pageBreakBefore w:val="0"/>
              <w:tabs>
                <w:tab w:val="left" w:pos="720"/>
              </w:tabs>
              <w:kinsoku/>
              <w:overflowPunct/>
              <w:topLinePunct w:val="0"/>
              <w:bidi w:val="0"/>
              <w:adjustRightInd w:val="0"/>
              <w:snapToGrid w:val="0"/>
              <w:spacing w:line="360" w:lineRule="exact"/>
              <w:jc w:val="center"/>
              <w:textAlignment w:val="auto"/>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p>
        </w:tc>
      </w:tr>
    </w:tbl>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2"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w:t>
      </w:r>
      <w:bookmarkStart w:id="2" w:name="_Toc465084021"/>
      <w:r>
        <w:rPr>
          <w:rFonts w:hint="eastAsia" w:ascii="方正仿宋_GBK" w:hAnsi="方正仿宋_GBK" w:eastAsia="方正仿宋_GBK" w:cs="方正仿宋_GBK"/>
          <w:color w:val="000000"/>
          <w:sz w:val="24"/>
          <w:szCs w:val="24"/>
          <w:lang w:val="en-US" w:eastAsia="zh-CN"/>
        </w:rPr>
        <w:t>院内磋商（竞争性磋商）</w:t>
      </w:r>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2"/>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5.参加此采购活动前三年内，在经营活动中没有重大违法记录；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0389D4A">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 xml:space="preserve">（二）特定资格条件 </w:t>
      </w:r>
    </w:p>
    <w:p w14:paraId="30BB6005">
      <w:pPr>
        <w:pageBreakBefore w:val="0"/>
        <w:widowControl w:val="0"/>
        <w:kinsoku/>
        <w:wordWrap/>
        <w:overflowPunct/>
        <w:topLinePunct w:val="0"/>
        <w:autoSpaceDE/>
        <w:autoSpaceDN/>
        <w:bidi w:val="0"/>
        <w:adjustRightInd w:val="0"/>
        <w:snapToGrid w:val="0"/>
        <w:spacing w:line="360" w:lineRule="exact"/>
        <w:ind w:firstLine="540" w:firstLineChars="225"/>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制造商或代理商均可参与投标，投标人须具备以下条件：</w:t>
      </w:r>
    </w:p>
    <w:p w14:paraId="31B787D3">
      <w:pPr>
        <w:pageBreakBefore w:val="0"/>
        <w:widowControl w:val="0"/>
        <w:kinsoku/>
        <w:wordWrap/>
        <w:overflowPunct/>
        <w:topLinePunct w:val="0"/>
        <w:autoSpaceDE/>
        <w:autoSpaceDN/>
        <w:bidi w:val="0"/>
        <w:adjustRightInd w:val="0"/>
        <w:snapToGrid w:val="0"/>
        <w:spacing w:line="360" w:lineRule="exact"/>
        <w:ind w:firstLine="540" w:firstLineChars="225"/>
        <w:textAlignment w:val="auto"/>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1.制造商须满足以下条件：</w:t>
      </w:r>
    </w:p>
    <w:p w14:paraId="4E292C00">
      <w:pPr>
        <w:pageBreakBefore w:val="0"/>
        <w:widowControl w:val="0"/>
        <w:kinsoku/>
        <w:wordWrap/>
        <w:overflowPunct/>
        <w:topLinePunct w:val="0"/>
        <w:autoSpaceDE/>
        <w:autoSpaceDN/>
        <w:bidi w:val="0"/>
        <w:adjustRightInd w:val="0"/>
        <w:snapToGrid w:val="0"/>
        <w:spacing w:line="360" w:lineRule="exact"/>
        <w:ind w:firstLine="540" w:firstLineChars="225"/>
        <w:textAlignment w:val="auto"/>
        <w:rPr>
          <w:rFonts w:hint="eastAsia" w:ascii="方正仿宋_GBK" w:hAnsi="方正仿宋_GBK" w:eastAsia="方正仿宋_GBK" w:cs="方正仿宋_GBK"/>
          <w:strike w:val="0"/>
          <w:dstrike w:val="0"/>
          <w:color w:val="000000"/>
          <w:sz w:val="24"/>
          <w:szCs w:val="24"/>
          <w:highlight w:val="none"/>
          <w:lang w:val="en-US" w:eastAsia="zh-CN"/>
        </w:rPr>
      </w:pPr>
      <w:r>
        <w:rPr>
          <w:rFonts w:hint="eastAsia" w:ascii="方正仿宋_GBK" w:hAnsi="方正仿宋_GBK" w:eastAsia="方正仿宋_GBK" w:cs="方正仿宋_GBK"/>
          <w:strike w:val="0"/>
          <w:dstrike w:val="0"/>
          <w:color w:val="000000"/>
          <w:sz w:val="24"/>
          <w:szCs w:val="24"/>
          <w:highlight w:val="none"/>
          <w:lang w:val="en-US" w:eastAsia="zh-CN"/>
        </w:rPr>
        <w:t>（1）具有独立法人资格要求；</w:t>
      </w:r>
    </w:p>
    <w:p w14:paraId="1834EB51">
      <w:pPr>
        <w:pageBreakBefore w:val="0"/>
        <w:widowControl w:val="0"/>
        <w:kinsoku/>
        <w:wordWrap/>
        <w:overflowPunct/>
        <w:topLinePunct w:val="0"/>
        <w:autoSpaceDE/>
        <w:autoSpaceDN/>
        <w:bidi w:val="0"/>
        <w:adjustRightInd w:val="0"/>
        <w:snapToGrid w:val="0"/>
        <w:spacing w:line="360" w:lineRule="exact"/>
        <w:ind w:firstLine="540" w:firstLineChars="225"/>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（2）具有有效期内的中华人民共和国特种设备生产许可证（锅炉制造）B级（含B级）及以上制造资质；</w:t>
      </w:r>
    </w:p>
    <w:p w14:paraId="54B2BB13">
      <w:pPr>
        <w:pageBreakBefore w:val="0"/>
        <w:widowControl w:val="0"/>
        <w:kinsoku/>
        <w:wordWrap/>
        <w:overflowPunct/>
        <w:topLinePunct w:val="0"/>
        <w:autoSpaceDE/>
        <w:autoSpaceDN/>
        <w:bidi w:val="0"/>
        <w:adjustRightInd w:val="0"/>
        <w:snapToGrid w:val="0"/>
        <w:spacing w:line="360" w:lineRule="exact"/>
        <w:ind w:firstLine="540" w:firstLineChars="225"/>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（3）具有有效期内的中华人民共和国特种设备安装改造修理许可证B级（含B级）及以上安装资质。</w:t>
      </w:r>
    </w:p>
    <w:p w14:paraId="4470C923">
      <w:pPr>
        <w:pageBreakBefore w:val="0"/>
        <w:widowControl w:val="0"/>
        <w:kinsoku/>
        <w:wordWrap/>
        <w:overflowPunct/>
        <w:topLinePunct w:val="0"/>
        <w:autoSpaceDE/>
        <w:autoSpaceDN/>
        <w:bidi w:val="0"/>
        <w:adjustRightInd w:val="0"/>
        <w:snapToGrid w:val="0"/>
        <w:spacing w:line="360" w:lineRule="exact"/>
        <w:ind w:firstLine="540" w:firstLineChars="225"/>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2.代理商须满足以下条件：</w:t>
      </w:r>
    </w:p>
    <w:p w14:paraId="76BCA4B3">
      <w:pPr>
        <w:pageBreakBefore w:val="0"/>
        <w:widowControl w:val="0"/>
        <w:kinsoku/>
        <w:wordWrap/>
        <w:overflowPunct/>
        <w:topLinePunct w:val="0"/>
        <w:autoSpaceDE/>
        <w:autoSpaceDN/>
        <w:bidi w:val="0"/>
        <w:adjustRightInd w:val="0"/>
        <w:snapToGrid w:val="0"/>
        <w:spacing w:line="360" w:lineRule="exact"/>
        <w:ind w:firstLine="540" w:firstLineChars="225"/>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（1）具有独立法人资格；</w:t>
      </w:r>
    </w:p>
    <w:p w14:paraId="438B65F4">
      <w:pPr>
        <w:pageBreakBefore w:val="0"/>
        <w:widowControl w:val="0"/>
        <w:kinsoku/>
        <w:wordWrap/>
        <w:overflowPunct/>
        <w:topLinePunct w:val="0"/>
        <w:autoSpaceDE/>
        <w:autoSpaceDN/>
        <w:bidi w:val="0"/>
        <w:adjustRightInd w:val="0"/>
        <w:snapToGrid w:val="0"/>
        <w:spacing w:line="360" w:lineRule="exact"/>
        <w:ind w:firstLine="540" w:firstLineChars="225"/>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（2）代理商代理投标产品制造商必须满足制造商的资质要求；</w:t>
      </w:r>
    </w:p>
    <w:p w14:paraId="0E09D3F9">
      <w:pPr>
        <w:pageBreakBefore w:val="0"/>
        <w:widowControl w:val="0"/>
        <w:kinsoku/>
        <w:wordWrap/>
        <w:overflowPunct/>
        <w:topLinePunct w:val="0"/>
        <w:autoSpaceDE/>
        <w:autoSpaceDN/>
        <w:bidi w:val="0"/>
        <w:adjustRightInd w:val="0"/>
        <w:snapToGrid w:val="0"/>
        <w:spacing w:line="360" w:lineRule="exact"/>
        <w:ind w:firstLine="540" w:firstLineChars="225"/>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（3）具有代理投标产品制造商对其同一品牌同一型号锅炉的授权。</w:t>
      </w:r>
    </w:p>
    <w:p w14:paraId="17A934C0">
      <w:pPr>
        <w:pageBreakBefore w:val="0"/>
        <w:widowControl w:val="0"/>
        <w:tabs>
          <w:tab w:val="left" w:pos="720"/>
        </w:tabs>
        <w:kinsoku/>
        <w:wordWrap/>
        <w:overflowPunct/>
        <w:topLinePunct w:val="0"/>
        <w:autoSpaceDE/>
        <w:autoSpaceDN/>
        <w:bidi w:val="0"/>
        <w:adjustRightInd w:val="0"/>
        <w:snapToGrid w:val="0"/>
        <w:spacing w:line="360" w:lineRule="exact"/>
        <w:ind w:firstLine="482" w:firstLineChars="200"/>
        <w:jc w:val="left"/>
        <w:textAlignment w:val="auto"/>
        <w:rPr>
          <w:rFonts w:hint="eastAsia" w:ascii="方正仿宋_GBK" w:hAnsi="方正仿宋_GBK" w:eastAsia="方正仿宋_GBK" w:cs="方正仿宋_GBK"/>
          <w:b/>
          <w:bCs/>
          <w:color w:val="000000"/>
          <w:sz w:val="24"/>
          <w:szCs w:val="24"/>
          <w:lang w:val="en-US" w:eastAsia="zh-CN"/>
        </w:rPr>
      </w:pPr>
    </w:p>
    <w:p w14:paraId="4AED6FFD">
      <w:pPr>
        <w:pageBreakBefore w:val="0"/>
        <w:widowControl w:val="0"/>
        <w:tabs>
          <w:tab w:val="left" w:pos="720"/>
        </w:tabs>
        <w:kinsoku/>
        <w:wordWrap/>
        <w:overflowPunct/>
        <w:topLinePunct w:val="0"/>
        <w:autoSpaceDE/>
        <w:autoSpaceDN/>
        <w:bidi w:val="0"/>
        <w:adjustRightInd w:val="0"/>
        <w:snapToGrid w:val="0"/>
        <w:spacing w:line="360" w:lineRule="exact"/>
        <w:ind w:firstLine="482" w:firstLineChars="200"/>
        <w:jc w:val="left"/>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说明：</w:t>
      </w:r>
    </w:p>
    <w:p w14:paraId="1860DDE4">
      <w:pPr>
        <w:pageBreakBefore w:val="0"/>
        <w:widowControl w:val="0"/>
        <w:numPr>
          <w:ilvl w:val="0"/>
          <w:numId w:val="0"/>
        </w:numPr>
        <w:tabs>
          <w:tab w:val="left" w:pos="720"/>
        </w:tabs>
        <w:kinsoku/>
        <w:wordWrap/>
        <w:overflowPunct/>
        <w:topLinePunct w:val="0"/>
        <w:autoSpaceDE/>
        <w:autoSpaceDN/>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kern w:val="2"/>
          <w:sz w:val="24"/>
          <w:szCs w:val="24"/>
          <w:lang w:val="en-US" w:eastAsia="zh-CN" w:bidi="ar-SA"/>
        </w:rPr>
        <w:t>1.</w:t>
      </w:r>
      <w:r>
        <w:rPr>
          <w:rFonts w:hint="eastAsia" w:ascii="方正仿宋_GBK" w:hAnsi="方正仿宋_GBK" w:eastAsia="方正仿宋_GBK" w:cs="方正仿宋_GBK"/>
          <w:b w:val="0"/>
          <w:bCs w:val="0"/>
          <w:color w:val="000000"/>
          <w:sz w:val="24"/>
          <w:szCs w:val="24"/>
          <w:lang w:val="en-US" w:eastAsia="zh-CN"/>
        </w:rPr>
        <w:t>上述证明材料须在投标响应文件中复印件加盖</w:t>
      </w:r>
      <w:r>
        <w:rPr>
          <w:rFonts w:hint="eastAsia" w:ascii="方正仿宋_GBK" w:hAnsi="方正仿宋_GBK" w:eastAsia="方正仿宋_GBK" w:cs="方正仿宋_GBK"/>
          <w:b w:val="0"/>
          <w:bCs w:val="0"/>
          <w:strike w:val="0"/>
          <w:dstrike w:val="0"/>
          <w:color w:val="000000"/>
          <w:sz w:val="24"/>
          <w:szCs w:val="24"/>
          <w:lang w:val="en-US" w:eastAsia="zh-CN"/>
        </w:rPr>
        <w:t>单位公章（鲜</w:t>
      </w:r>
      <w:r>
        <w:rPr>
          <w:rFonts w:hint="eastAsia" w:ascii="方正仿宋_GBK" w:hAnsi="方正仿宋_GBK" w:eastAsia="方正仿宋_GBK" w:cs="方正仿宋_GBK"/>
          <w:b w:val="0"/>
          <w:bCs w:val="0"/>
          <w:color w:val="000000"/>
          <w:sz w:val="24"/>
          <w:szCs w:val="24"/>
          <w:lang w:val="en-US" w:eastAsia="zh-CN"/>
        </w:rPr>
        <w:t>章</w:t>
      </w:r>
      <w:r>
        <w:rPr>
          <w:rFonts w:hint="eastAsia" w:ascii="方正仿宋_GBK" w:hAnsi="方正仿宋_GBK" w:eastAsia="方正仿宋_GBK" w:cs="方正仿宋_GBK"/>
          <w:b w:val="0"/>
          <w:bCs w:val="0"/>
          <w:strike w:val="0"/>
          <w:dstrike w:val="0"/>
          <w:color w:val="000000"/>
          <w:sz w:val="24"/>
          <w:szCs w:val="24"/>
          <w:lang w:val="en-US" w:eastAsia="zh-CN"/>
        </w:rPr>
        <w:t>）</w:t>
      </w:r>
      <w:r>
        <w:rPr>
          <w:rFonts w:hint="eastAsia" w:ascii="方正仿宋_GBK" w:hAnsi="方正仿宋_GBK" w:eastAsia="方正仿宋_GBK" w:cs="方正仿宋_GBK"/>
          <w:b w:val="0"/>
          <w:bCs w:val="0"/>
          <w:color w:val="000000"/>
          <w:sz w:val="24"/>
          <w:szCs w:val="24"/>
          <w:lang w:val="en-US" w:eastAsia="zh-CN"/>
        </w:rPr>
        <w:t>。</w:t>
      </w:r>
    </w:p>
    <w:p w14:paraId="275AA59E">
      <w:pPr>
        <w:pageBreakBefore w:val="0"/>
        <w:widowControl w:val="0"/>
        <w:numPr>
          <w:ilvl w:val="0"/>
          <w:numId w:val="0"/>
        </w:numPr>
        <w:tabs>
          <w:tab w:val="left" w:pos="720"/>
        </w:tabs>
        <w:kinsoku/>
        <w:wordWrap/>
        <w:overflowPunct/>
        <w:topLinePunct w:val="0"/>
        <w:autoSpaceDE/>
        <w:autoSpaceDN/>
        <w:bidi w:val="0"/>
        <w:adjustRightInd w:val="0"/>
        <w:snapToGrid w:val="0"/>
        <w:spacing w:line="360" w:lineRule="exact"/>
        <w:ind w:firstLine="480" w:firstLineChars="200"/>
        <w:textAlignment w:val="auto"/>
        <w:rPr>
          <w:rFonts w:hint="eastAsia"/>
          <w:color w:val="000000"/>
          <w:lang w:val="en-US" w:eastAsia="zh-CN"/>
        </w:rPr>
      </w:pPr>
      <w:r>
        <w:rPr>
          <w:rFonts w:hint="eastAsia" w:ascii="方正仿宋_GBK" w:hAnsi="方正仿宋_GBK" w:eastAsia="方正仿宋_GBK" w:cs="方正仿宋_GBK"/>
          <w:b w:val="0"/>
          <w:bCs w:val="0"/>
          <w:color w:val="000000"/>
          <w:sz w:val="24"/>
          <w:szCs w:val="24"/>
          <w:lang w:val="en-US" w:eastAsia="zh-CN"/>
        </w:rPr>
        <w:t>2.采购人在采购有效期内均有权对投标人提供的以上资料（证明材料和证件的原件或复印件）进行核实。采购人在合同签订前有权对投标人提供的资料进行核实，若发现弄虚作假，按相关规定取消其中</w:t>
      </w:r>
      <w:r>
        <w:rPr>
          <w:rFonts w:hint="eastAsia" w:ascii="方正仿宋_GBK" w:hAnsi="方正仿宋_GBK" w:eastAsia="方正仿宋_GBK" w:cs="方正仿宋_GBK"/>
          <w:b w:val="0"/>
          <w:bCs w:val="0"/>
          <w:strike w:val="0"/>
          <w:dstrike w:val="0"/>
          <w:color w:val="000000"/>
          <w:sz w:val="24"/>
          <w:szCs w:val="24"/>
          <w:lang w:val="en-US" w:eastAsia="zh-CN"/>
        </w:rPr>
        <w:t>标</w:t>
      </w:r>
      <w:r>
        <w:rPr>
          <w:rFonts w:hint="eastAsia" w:ascii="方正仿宋_GBK" w:hAnsi="方正仿宋_GBK" w:eastAsia="方正仿宋_GBK" w:cs="方正仿宋_GBK"/>
          <w:b w:val="0"/>
          <w:bCs w:val="0"/>
          <w:color w:val="000000"/>
          <w:sz w:val="24"/>
          <w:szCs w:val="24"/>
          <w:lang w:val="en-US" w:eastAsia="zh-CN"/>
        </w:rPr>
        <w:t>资格，并按相关法律法规处理，投标人承担因此造成的相关责任并赔偿相应损失。</w:t>
      </w:r>
    </w:p>
    <w:p w14:paraId="5F58357F">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五、投标有关说明</w:t>
      </w:r>
    </w:p>
    <w:p w14:paraId="34BE60B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1.报名：2026</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年10月10日至10月15日（工作</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日）9：00—17：00通过线上报名方式获取采购文件（报名提供：项目报名表签字版图片或扫描件及电子版、营业执照等复印件加盖单位（公司）公章（鲜章）图片或扫描件等）；具体线上报名方式详见项目采购公告内容。</w:t>
      </w:r>
    </w:p>
    <w:p w14:paraId="06D46836">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报名资料提交邮箱（邮件以附件形式上传）时请以“单位（公司）名称（全称或规范简称）+项目名称报名资料”命名。</w:t>
      </w:r>
    </w:p>
    <w:p w14:paraId="65E2A55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投标保证金：</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2700.00</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，缴纳截</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止时间：</w:t>
      </w:r>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2026年10月22日 17：00</w:t>
      </w:r>
    </w:p>
    <w:p w14:paraId="56FF2B9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缴纳方式：要求以转账方式从其基本银行账户支付至</w:t>
      </w:r>
      <w:r>
        <w:rPr>
          <w:rFonts w:hint="eastAsia" w:ascii="方正仿宋_GBK" w:hAnsi="方正仿宋_GBK" w:eastAsia="方正仿宋_GBK" w:cs="方正仿宋_GBK"/>
          <w:b/>
          <w:bCs/>
          <w:strike w:val="0"/>
          <w:dstrike w:val="0"/>
          <w:color w:val="000000" w:themeColor="text1"/>
          <w:sz w:val="24"/>
          <w:szCs w:val="24"/>
          <w:lang w:val="en-US" w:eastAsia="zh-CN"/>
          <w14:textFill>
            <w14:solidFill>
              <w14:schemeClr w14:val="tx1"/>
            </w14:solidFill>
          </w14:textFill>
        </w:rPr>
        <w:t>采购人</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银行账户</w:t>
      </w:r>
    </w:p>
    <w:p w14:paraId="31668D24">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办理流程：</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根据本项目缴纳时间节点及投标人实际情况，按下述采购人</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银行账户信息</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转账（对公账户）</w:t>
      </w:r>
    </w:p>
    <w:p w14:paraId="1B651320">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投标人缴纳投标保证金，须在上述要求时间内将投标保证金</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发送至采购人指定邮箱（邮件以附件形式上传），且应将投标保证金（如有，无则不提供）</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按要求附在投标文件内。</w:t>
      </w:r>
    </w:p>
    <w:p w14:paraId="626CC122">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以下情形不予退还投标保证金：</w:t>
      </w:r>
      <w:bookmarkStart w:id="3" w:name="_GoBack"/>
      <w:bookmarkEnd w:id="3"/>
    </w:p>
    <w:p w14:paraId="25B414E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投标人在投标截止日期后没有提交投标，且之前也没有任何通知说明。</w:t>
      </w:r>
    </w:p>
    <w:p w14:paraId="0251232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（2）</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投标人在提交投标</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响应</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文件后，突然放弃投标。</w:t>
      </w:r>
    </w:p>
    <w:p w14:paraId="02A38C7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中标后，在接到通知书的30日内，在没有正当理由的情况下拒绝与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人签订合同。</w:t>
      </w:r>
    </w:p>
    <w:p w14:paraId="2D894777">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在投标过程中，被发现有违反法律和纪律的行为。</w:t>
      </w:r>
    </w:p>
    <w:p w14:paraId="3858F6E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（5）</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如果在投标过程中，因为违反规定，被他人投诉或举报，事情还</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未</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解决，可以暂不退还投标保证金，待事情</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解决完毕</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后，根据情况决定</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2301FF6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投标截止后撤销投标。</w:t>
      </w:r>
    </w:p>
    <w:p w14:paraId="30D12426">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（7）</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中标后不与招标人订立合同。</w:t>
      </w:r>
    </w:p>
    <w:p w14:paraId="2CB4F29F">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（8）中标（成交）供应商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签订合同时向</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采购人</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提出附加条件。</w:t>
      </w:r>
    </w:p>
    <w:p w14:paraId="7801DD5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（9）</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中标后不按照</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文件要求提交履约保证金。</w:t>
      </w:r>
    </w:p>
    <w:p w14:paraId="4AC167B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（10）</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投标人采用不正当的手段骗取中标。</w:t>
      </w:r>
    </w:p>
    <w:p w14:paraId="65E098F1">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文件中规定的投标有效期内撤回其投标</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6B591A6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（12）中标（成交）供应商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在规定期限内未能根据规定签订合同或者按规定接受对错误的修正</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2ED435A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13</w:t>
      </w:r>
      <w:r>
        <w:rPr>
          <w:rFonts w:hint="eastAsia" w:ascii="方正仿宋_GBK" w:hAnsi="方正仿宋_GBK" w:eastAsia="方正仿宋_GBK" w:cs="方正仿宋_GBK"/>
          <w:color w:val="000000" w:themeColor="text1"/>
          <w:sz w:val="24"/>
          <w:szCs w:val="24"/>
          <w14:textFill>
            <w14:solidFill>
              <w14:schemeClr w14:val="tx1"/>
            </w14:solidFill>
          </w14:textFill>
        </w:rPr>
        <w:t>）投标人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被发现有</w:t>
      </w:r>
      <w:r>
        <w:rPr>
          <w:rFonts w:hint="eastAsia" w:ascii="方正仿宋_GBK" w:hAnsi="方正仿宋_GBK" w:eastAsia="方正仿宋_GBK" w:cs="方正仿宋_GBK"/>
          <w:color w:val="000000" w:themeColor="text1"/>
          <w:sz w:val="24"/>
          <w:szCs w:val="24"/>
          <w14:textFill>
            <w14:solidFill>
              <w14:schemeClr w14:val="tx1"/>
            </w14:solidFill>
          </w14:textFill>
        </w:rPr>
        <w:t>串通投标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围标行为</w:t>
      </w:r>
      <w:r>
        <w:rPr>
          <w:rFonts w:hint="eastAsia" w:ascii="方正仿宋_GBK" w:hAnsi="方正仿宋_GBK" w:eastAsia="方正仿宋_GBK" w:cs="方正仿宋_GBK"/>
          <w:color w:val="000000" w:themeColor="text1"/>
          <w:sz w:val="24"/>
          <w:szCs w:val="24"/>
          <w14:textFill>
            <w14:solidFill>
              <w14:schemeClr w14:val="tx1"/>
            </w14:solidFill>
          </w14:textFill>
        </w:rPr>
        <w:t>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0A434A65">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14</w:t>
      </w:r>
      <w:r>
        <w:rPr>
          <w:rFonts w:hint="eastAsia" w:ascii="方正仿宋_GBK" w:hAnsi="方正仿宋_GBK" w:eastAsia="方正仿宋_GBK" w:cs="方正仿宋_GBK"/>
          <w:color w:val="000000" w:themeColor="text1"/>
          <w:sz w:val="24"/>
          <w:szCs w:val="24"/>
          <w14:textFill>
            <w14:solidFill>
              <w14:schemeClr w14:val="tx1"/>
            </w14:solidFill>
          </w14:textFill>
        </w:rPr>
        <w:t>）法律、法规和</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w:t>
      </w:r>
      <w:r>
        <w:rPr>
          <w:rFonts w:hint="eastAsia" w:ascii="方正仿宋_GBK" w:hAnsi="方正仿宋_GBK" w:eastAsia="方正仿宋_GBK" w:cs="方正仿宋_GBK"/>
          <w:color w:val="000000" w:themeColor="text1"/>
          <w:sz w:val="24"/>
          <w:szCs w:val="24"/>
          <w14:textFill>
            <w14:solidFill>
              <w14:schemeClr w14:val="tx1"/>
            </w14:solidFill>
          </w14:textFill>
        </w:rPr>
        <w:t>文件规定的其他情形</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0DB967D5">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strike w:val="0"/>
          <w:dstrike w:val="0"/>
          <w:color w:val="000000" w:themeColor="text1"/>
          <w:sz w:val="24"/>
          <w:szCs w:val="24"/>
          <w:lang w:val="en-US" w:eastAsia="zh-CN"/>
          <w14:textFill>
            <w14:solidFill>
              <w14:schemeClr w14:val="tx1"/>
            </w14:solidFill>
          </w14:textFill>
        </w:rPr>
        <w:t>采购人</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银行账户信息如下：</w:t>
      </w:r>
    </w:p>
    <w:p w14:paraId="7E3EAF9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户    名：</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重庆医科大学附属康复医院</w:t>
      </w:r>
    </w:p>
    <w:p w14:paraId="19F3F77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银行账号：</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31820101040011318</w:t>
      </w:r>
    </w:p>
    <w:p w14:paraId="5AAA1CE6">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开户银行：</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中国农业银行股份有限公司重庆石柱支行营业部</w:t>
      </w:r>
    </w:p>
    <w:p w14:paraId="469ACE0E">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特别说明：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请各投标人投标保证金按项目分别转账，并备注投标项目的名称、包号、投标保证金等关键信息；参与投标须提供缴纳投标保证金有效票据（投标人转账银行回单依据或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财务科出具票据）。请各投标人自行考虑汇入时间风险，如同城汇入、异地汇入、跨行汇入的时间要求。</w:t>
      </w:r>
    </w:p>
    <w:p w14:paraId="786C9542">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2.响应文件提交：</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请于2026年10月23日15：30- 16：00前送达重庆医</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科大学附属康复医</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院大公馆院区5号楼三楼会议室（龙腾大道·重庆市结核病防治所斜对面）</w:t>
      </w:r>
    </w:p>
    <w:p w14:paraId="429A93FF">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3.磋商</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时间：</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2026年10月23日16：00</w:t>
      </w:r>
    </w:p>
    <w:p w14:paraId="3361276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4.磋商地点：</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重庆医科大学附属康复医院</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大公馆院区5号楼三楼会议室（龙腾大道·重庆市结核病防治所斜对面）</w:t>
      </w:r>
    </w:p>
    <w:p w14:paraId="7B9B132E">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5.联系人：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招采办 陈老师   联系电话：</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023-61307208</w:t>
      </w:r>
    </w:p>
    <w:p w14:paraId="0736BCF4">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6.本项目不接受联合体投标。</w:t>
      </w:r>
    </w:p>
    <w:p w14:paraId="647209B5">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7.投标人按上述时间和要求提交报名资料（详见附件）发送至采购人陈老师邮箱：843996568@qq.com，采购人审核有效无误后，将第一时间发送本项目采购文件电子版至投标人报名接收邮箱，请注意查收。</w:t>
      </w:r>
    </w:p>
    <w:p w14:paraId="50FDCF6D">
      <w:pPr>
        <w:snapToGrid w:val="0"/>
        <w:spacing w:line="400" w:lineRule="exact"/>
        <w:ind w:firstLine="482" w:firstLineChars="200"/>
        <w:jc w:val="lef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8.投标人须将报名所需资料在本项目采购公告要求时间内发送至采购人指定邮箱，在公告要求时间外发送的报名邮件概不接收，为无效报名。</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49FA180A">
      <w:pPr>
        <w:adjustRightInd w:val="0"/>
        <w:snapToGrid w:val="0"/>
        <w:spacing w:line="360" w:lineRule="auto"/>
        <w:ind w:firstLine="482" w:firstLineChars="200"/>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p>
    <w:p w14:paraId="086E9868">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13E0C591">
      <w:pPr>
        <w:adjustRightInd w:val="0"/>
        <w:snapToGrid w:val="0"/>
        <w:spacing w:line="360" w:lineRule="auto"/>
        <w:ind w:left="1443" w:leftChars="228" w:hanging="964" w:hangingChars="4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营业执照等复印件加盖单位（公司）公章（鲜章）图片或扫描件</w:t>
      </w:r>
    </w:p>
    <w:p w14:paraId="4CCAC4E8">
      <w:pPr>
        <w:adjustRightInd w:val="0"/>
        <w:snapToGrid w:val="0"/>
        <w:spacing w:line="360" w:lineRule="auto"/>
        <w:ind w:left="1437" w:leftChars="570" w:hanging="240" w:hangingChars="1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（自行提供）</w:t>
      </w:r>
    </w:p>
    <w:p w14:paraId="7E97575F">
      <w:pPr>
        <w:adjustRightInd w:val="0"/>
        <w:snapToGrid w:val="0"/>
        <w:spacing w:line="360" w:lineRule="auto"/>
        <w:ind w:firstLine="482"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附件3：</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投标保证金转账凭证图片或扫描件（自行提供）</w:t>
      </w:r>
    </w:p>
    <w:p w14:paraId="59D322FF">
      <w:pPr>
        <w:adjustRightInd w:val="0"/>
        <w:snapToGrid w:val="0"/>
        <w:spacing w:line="360" w:lineRule="auto"/>
        <w:ind w:firstLine="480"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A24F4"/>
    <w:rsid w:val="013637D1"/>
    <w:rsid w:val="016025FC"/>
    <w:rsid w:val="01B666C0"/>
    <w:rsid w:val="02377801"/>
    <w:rsid w:val="02816CCE"/>
    <w:rsid w:val="028F59B7"/>
    <w:rsid w:val="02DA018C"/>
    <w:rsid w:val="038D51FF"/>
    <w:rsid w:val="03A367D0"/>
    <w:rsid w:val="03C74BB5"/>
    <w:rsid w:val="04C17856"/>
    <w:rsid w:val="04C42EA2"/>
    <w:rsid w:val="05340028"/>
    <w:rsid w:val="059720D3"/>
    <w:rsid w:val="05C80770"/>
    <w:rsid w:val="06500E91"/>
    <w:rsid w:val="068D4DE3"/>
    <w:rsid w:val="06BC6527"/>
    <w:rsid w:val="06DB44D3"/>
    <w:rsid w:val="06F86EF5"/>
    <w:rsid w:val="075C73C2"/>
    <w:rsid w:val="077B0190"/>
    <w:rsid w:val="0854453D"/>
    <w:rsid w:val="086D0371"/>
    <w:rsid w:val="08B80F70"/>
    <w:rsid w:val="09572537"/>
    <w:rsid w:val="0963712E"/>
    <w:rsid w:val="098D41AA"/>
    <w:rsid w:val="099512B1"/>
    <w:rsid w:val="09DB3168"/>
    <w:rsid w:val="0A06795D"/>
    <w:rsid w:val="0A397E8E"/>
    <w:rsid w:val="0A40746F"/>
    <w:rsid w:val="0A856C30"/>
    <w:rsid w:val="0AA479FE"/>
    <w:rsid w:val="0ABF65E6"/>
    <w:rsid w:val="0AEA1189"/>
    <w:rsid w:val="0B301291"/>
    <w:rsid w:val="0BA23811"/>
    <w:rsid w:val="0BB35A1E"/>
    <w:rsid w:val="0C590374"/>
    <w:rsid w:val="0C7E7DDA"/>
    <w:rsid w:val="0CB87790"/>
    <w:rsid w:val="0CBF0B1F"/>
    <w:rsid w:val="0CD619C5"/>
    <w:rsid w:val="0D156991"/>
    <w:rsid w:val="0DBD1C4A"/>
    <w:rsid w:val="0DDA7292"/>
    <w:rsid w:val="0E2449B2"/>
    <w:rsid w:val="0E990EFC"/>
    <w:rsid w:val="0EA93835"/>
    <w:rsid w:val="0EEF263A"/>
    <w:rsid w:val="0F1D7D7F"/>
    <w:rsid w:val="0F3375A2"/>
    <w:rsid w:val="0FA45DAA"/>
    <w:rsid w:val="0FAB7138"/>
    <w:rsid w:val="0FDC19E8"/>
    <w:rsid w:val="10501A8E"/>
    <w:rsid w:val="108609DF"/>
    <w:rsid w:val="10C5422A"/>
    <w:rsid w:val="10F33DE4"/>
    <w:rsid w:val="117D2D56"/>
    <w:rsid w:val="11CD7AC2"/>
    <w:rsid w:val="11F528ED"/>
    <w:rsid w:val="12015736"/>
    <w:rsid w:val="128B4FFF"/>
    <w:rsid w:val="130628D8"/>
    <w:rsid w:val="1324792E"/>
    <w:rsid w:val="13477178"/>
    <w:rsid w:val="137912FC"/>
    <w:rsid w:val="13D12EE6"/>
    <w:rsid w:val="13ED41C3"/>
    <w:rsid w:val="13FC4407"/>
    <w:rsid w:val="140016F8"/>
    <w:rsid w:val="14E82BDD"/>
    <w:rsid w:val="152A0AFF"/>
    <w:rsid w:val="15B71A60"/>
    <w:rsid w:val="15FF1F8C"/>
    <w:rsid w:val="16933115"/>
    <w:rsid w:val="17CA481C"/>
    <w:rsid w:val="17D95D62"/>
    <w:rsid w:val="18047D2E"/>
    <w:rsid w:val="1881137E"/>
    <w:rsid w:val="18A84B5D"/>
    <w:rsid w:val="18EB2C9C"/>
    <w:rsid w:val="192D0BBE"/>
    <w:rsid w:val="19704F75"/>
    <w:rsid w:val="19A1335A"/>
    <w:rsid w:val="19AC5F87"/>
    <w:rsid w:val="19CB2271"/>
    <w:rsid w:val="1A7044CA"/>
    <w:rsid w:val="1A7D3DC7"/>
    <w:rsid w:val="1AB05F4B"/>
    <w:rsid w:val="1AB84DFF"/>
    <w:rsid w:val="1ACB068F"/>
    <w:rsid w:val="1ADA2FC8"/>
    <w:rsid w:val="1AF04599"/>
    <w:rsid w:val="1AF23E6D"/>
    <w:rsid w:val="1AFF658A"/>
    <w:rsid w:val="1B2D30F7"/>
    <w:rsid w:val="1BAA4748"/>
    <w:rsid w:val="1BAF6202"/>
    <w:rsid w:val="1BB47375"/>
    <w:rsid w:val="1BF96362"/>
    <w:rsid w:val="1C316C17"/>
    <w:rsid w:val="1C362480"/>
    <w:rsid w:val="1CA4388D"/>
    <w:rsid w:val="1CEB6DC6"/>
    <w:rsid w:val="1CEE68B6"/>
    <w:rsid w:val="1D2D73DF"/>
    <w:rsid w:val="1D350989"/>
    <w:rsid w:val="1DA67191"/>
    <w:rsid w:val="1E9C661C"/>
    <w:rsid w:val="1EDC730E"/>
    <w:rsid w:val="1F0E3240"/>
    <w:rsid w:val="1F3E1D77"/>
    <w:rsid w:val="1F6317DE"/>
    <w:rsid w:val="1FD77AD6"/>
    <w:rsid w:val="20AA343C"/>
    <w:rsid w:val="21380A48"/>
    <w:rsid w:val="21420657"/>
    <w:rsid w:val="21BE0F4D"/>
    <w:rsid w:val="21F11323"/>
    <w:rsid w:val="222820B6"/>
    <w:rsid w:val="22C2356F"/>
    <w:rsid w:val="2322375E"/>
    <w:rsid w:val="245A2A83"/>
    <w:rsid w:val="245C67FB"/>
    <w:rsid w:val="251946ED"/>
    <w:rsid w:val="255816B9"/>
    <w:rsid w:val="25826736"/>
    <w:rsid w:val="258E0C37"/>
    <w:rsid w:val="25952851"/>
    <w:rsid w:val="25BC1DD6"/>
    <w:rsid w:val="25E82A3D"/>
    <w:rsid w:val="26922965"/>
    <w:rsid w:val="26B7240F"/>
    <w:rsid w:val="26C62652"/>
    <w:rsid w:val="274C6FFB"/>
    <w:rsid w:val="275E288B"/>
    <w:rsid w:val="27673E35"/>
    <w:rsid w:val="276A122F"/>
    <w:rsid w:val="28414686"/>
    <w:rsid w:val="285000AC"/>
    <w:rsid w:val="291122AA"/>
    <w:rsid w:val="29891E41"/>
    <w:rsid w:val="2A2658E2"/>
    <w:rsid w:val="2A506E02"/>
    <w:rsid w:val="2A9C5BA4"/>
    <w:rsid w:val="2AD96DF8"/>
    <w:rsid w:val="2AE90244"/>
    <w:rsid w:val="2C7548FE"/>
    <w:rsid w:val="2C9A6F3E"/>
    <w:rsid w:val="2CF241A1"/>
    <w:rsid w:val="2E4A5917"/>
    <w:rsid w:val="2EB77450"/>
    <w:rsid w:val="2FF41FDE"/>
    <w:rsid w:val="303D3985"/>
    <w:rsid w:val="3078676B"/>
    <w:rsid w:val="30F60495"/>
    <w:rsid w:val="31232B7B"/>
    <w:rsid w:val="313E5C07"/>
    <w:rsid w:val="31745184"/>
    <w:rsid w:val="31A11CF2"/>
    <w:rsid w:val="324B145C"/>
    <w:rsid w:val="325B00F2"/>
    <w:rsid w:val="3421711A"/>
    <w:rsid w:val="345D2848"/>
    <w:rsid w:val="34897199"/>
    <w:rsid w:val="34BD5094"/>
    <w:rsid w:val="35325A82"/>
    <w:rsid w:val="3555351F"/>
    <w:rsid w:val="35645510"/>
    <w:rsid w:val="358D0F0B"/>
    <w:rsid w:val="361E6007"/>
    <w:rsid w:val="361E74B8"/>
    <w:rsid w:val="366003CD"/>
    <w:rsid w:val="36A302BA"/>
    <w:rsid w:val="37076A9B"/>
    <w:rsid w:val="371B42F4"/>
    <w:rsid w:val="37362EDC"/>
    <w:rsid w:val="3821593A"/>
    <w:rsid w:val="38233460"/>
    <w:rsid w:val="3836588A"/>
    <w:rsid w:val="38E250CA"/>
    <w:rsid w:val="3A00614F"/>
    <w:rsid w:val="3A4D2A17"/>
    <w:rsid w:val="3A8D5509"/>
    <w:rsid w:val="3A9248CD"/>
    <w:rsid w:val="3AD35612"/>
    <w:rsid w:val="3B903503"/>
    <w:rsid w:val="3B9A7E9A"/>
    <w:rsid w:val="3B9C1EA7"/>
    <w:rsid w:val="3BB52F69"/>
    <w:rsid w:val="3BBA232E"/>
    <w:rsid w:val="3BFE67ED"/>
    <w:rsid w:val="3C011D0B"/>
    <w:rsid w:val="3DA27781"/>
    <w:rsid w:val="3DAC5CA6"/>
    <w:rsid w:val="3DCF3A3B"/>
    <w:rsid w:val="3DE74F30"/>
    <w:rsid w:val="3E0B0C1F"/>
    <w:rsid w:val="3F626F64"/>
    <w:rsid w:val="407927B7"/>
    <w:rsid w:val="408B24EB"/>
    <w:rsid w:val="40A62E81"/>
    <w:rsid w:val="40AE7F87"/>
    <w:rsid w:val="40B97058"/>
    <w:rsid w:val="40E02836"/>
    <w:rsid w:val="412D5350"/>
    <w:rsid w:val="416A65A4"/>
    <w:rsid w:val="417C50FB"/>
    <w:rsid w:val="419B06AD"/>
    <w:rsid w:val="41ED600E"/>
    <w:rsid w:val="4255690C"/>
    <w:rsid w:val="42607D38"/>
    <w:rsid w:val="427F77EF"/>
    <w:rsid w:val="42AD6748"/>
    <w:rsid w:val="435D1690"/>
    <w:rsid w:val="436D5ED7"/>
    <w:rsid w:val="43E22422"/>
    <w:rsid w:val="4475773A"/>
    <w:rsid w:val="44A15B54"/>
    <w:rsid w:val="44A65B45"/>
    <w:rsid w:val="45330DC3"/>
    <w:rsid w:val="457572C5"/>
    <w:rsid w:val="45FC3543"/>
    <w:rsid w:val="463D4287"/>
    <w:rsid w:val="4669507C"/>
    <w:rsid w:val="46A75BA4"/>
    <w:rsid w:val="46D83FB0"/>
    <w:rsid w:val="46F32B98"/>
    <w:rsid w:val="478C7274"/>
    <w:rsid w:val="47F95F8C"/>
    <w:rsid w:val="48256D81"/>
    <w:rsid w:val="49557B3A"/>
    <w:rsid w:val="49635DB3"/>
    <w:rsid w:val="49677465"/>
    <w:rsid w:val="49B26D3A"/>
    <w:rsid w:val="49F509D5"/>
    <w:rsid w:val="4A2319E6"/>
    <w:rsid w:val="4A8A55C1"/>
    <w:rsid w:val="4B02784D"/>
    <w:rsid w:val="4B3E0E6C"/>
    <w:rsid w:val="4B5300A9"/>
    <w:rsid w:val="4B63653E"/>
    <w:rsid w:val="4B72052F"/>
    <w:rsid w:val="4B840262"/>
    <w:rsid w:val="4B9A34BB"/>
    <w:rsid w:val="4BC32B39"/>
    <w:rsid w:val="4BCF3BD3"/>
    <w:rsid w:val="4BE13907"/>
    <w:rsid w:val="4C0513A3"/>
    <w:rsid w:val="4C115F9A"/>
    <w:rsid w:val="4CA3296A"/>
    <w:rsid w:val="4D3D2DBF"/>
    <w:rsid w:val="4D455366"/>
    <w:rsid w:val="4DFC67D6"/>
    <w:rsid w:val="4E4361B3"/>
    <w:rsid w:val="4E473EF5"/>
    <w:rsid w:val="4E7418D9"/>
    <w:rsid w:val="4ECF7A46"/>
    <w:rsid w:val="4F6E3703"/>
    <w:rsid w:val="4FA62E9D"/>
    <w:rsid w:val="504601DC"/>
    <w:rsid w:val="5055041F"/>
    <w:rsid w:val="509C604E"/>
    <w:rsid w:val="50C835BA"/>
    <w:rsid w:val="50EC0D83"/>
    <w:rsid w:val="51CC5C45"/>
    <w:rsid w:val="51D13AD5"/>
    <w:rsid w:val="520143BB"/>
    <w:rsid w:val="52AA2CA4"/>
    <w:rsid w:val="52C8312A"/>
    <w:rsid w:val="52F50027"/>
    <w:rsid w:val="536A5F90"/>
    <w:rsid w:val="54352A41"/>
    <w:rsid w:val="54F50220"/>
    <w:rsid w:val="552D350A"/>
    <w:rsid w:val="55773A5E"/>
    <w:rsid w:val="55853555"/>
    <w:rsid w:val="561F3061"/>
    <w:rsid w:val="567F7FA4"/>
    <w:rsid w:val="570C5CDB"/>
    <w:rsid w:val="577E025B"/>
    <w:rsid w:val="579B705F"/>
    <w:rsid w:val="57CF18D5"/>
    <w:rsid w:val="57EE3633"/>
    <w:rsid w:val="586438F5"/>
    <w:rsid w:val="587D6765"/>
    <w:rsid w:val="587F5983"/>
    <w:rsid w:val="589715D5"/>
    <w:rsid w:val="58F509F1"/>
    <w:rsid w:val="5A094754"/>
    <w:rsid w:val="5A7122F9"/>
    <w:rsid w:val="5AB84E83"/>
    <w:rsid w:val="5ADC7773"/>
    <w:rsid w:val="5AEE74A6"/>
    <w:rsid w:val="5B21162A"/>
    <w:rsid w:val="5B5B0FE0"/>
    <w:rsid w:val="5BC326E1"/>
    <w:rsid w:val="5BE30FD5"/>
    <w:rsid w:val="5BF44F90"/>
    <w:rsid w:val="5BF64864"/>
    <w:rsid w:val="5C115B42"/>
    <w:rsid w:val="5C28615A"/>
    <w:rsid w:val="5C9B540C"/>
    <w:rsid w:val="5C9F6CAA"/>
    <w:rsid w:val="5CB87D6C"/>
    <w:rsid w:val="5CC826A5"/>
    <w:rsid w:val="5CF1327E"/>
    <w:rsid w:val="5D0D6309"/>
    <w:rsid w:val="5D0E2082"/>
    <w:rsid w:val="5D1F7DEB"/>
    <w:rsid w:val="5D347D3A"/>
    <w:rsid w:val="5DEA664B"/>
    <w:rsid w:val="5DFE58E1"/>
    <w:rsid w:val="5E3E0745"/>
    <w:rsid w:val="5E3E24F3"/>
    <w:rsid w:val="5EE02DC9"/>
    <w:rsid w:val="5F3202A9"/>
    <w:rsid w:val="5FC66C44"/>
    <w:rsid w:val="5FCA6734"/>
    <w:rsid w:val="607B5C80"/>
    <w:rsid w:val="618B3CA1"/>
    <w:rsid w:val="63387E58"/>
    <w:rsid w:val="63750765"/>
    <w:rsid w:val="6441217E"/>
    <w:rsid w:val="64524F4A"/>
    <w:rsid w:val="65293EFC"/>
    <w:rsid w:val="65363F24"/>
    <w:rsid w:val="65674A25"/>
    <w:rsid w:val="65D06126"/>
    <w:rsid w:val="65D2213C"/>
    <w:rsid w:val="66974E96"/>
    <w:rsid w:val="670C5884"/>
    <w:rsid w:val="671F55B7"/>
    <w:rsid w:val="67BD26DA"/>
    <w:rsid w:val="68010AE0"/>
    <w:rsid w:val="68183DB4"/>
    <w:rsid w:val="6821710D"/>
    <w:rsid w:val="68582403"/>
    <w:rsid w:val="68D467FE"/>
    <w:rsid w:val="693966D8"/>
    <w:rsid w:val="69C53AC8"/>
    <w:rsid w:val="6A4B66C1"/>
    <w:rsid w:val="6AA9312D"/>
    <w:rsid w:val="6B767770"/>
    <w:rsid w:val="6BB9765C"/>
    <w:rsid w:val="6C111246"/>
    <w:rsid w:val="6C445178"/>
    <w:rsid w:val="6C635F46"/>
    <w:rsid w:val="6C7041BF"/>
    <w:rsid w:val="6CCD7863"/>
    <w:rsid w:val="6CD24E7A"/>
    <w:rsid w:val="6CEB5F3B"/>
    <w:rsid w:val="6E182D60"/>
    <w:rsid w:val="6E2C2368"/>
    <w:rsid w:val="6E3851B0"/>
    <w:rsid w:val="6E5972F9"/>
    <w:rsid w:val="6E5B2C4D"/>
    <w:rsid w:val="6F2A2D4B"/>
    <w:rsid w:val="6F4934A7"/>
    <w:rsid w:val="6F881820"/>
    <w:rsid w:val="6FEB0909"/>
    <w:rsid w:val="70360EFA"/>
    <w:rsid w:val="70384FF4"/>
    <w:rsid w:val="70A00DEB"/>
    <w:rsid w:val="70AD3C34"/>
    <w:rsid w:val="70DC1E23"/>
    <w:rsid w:val="711710AD"/>
    <w:rsid w:val="71394DF1"/>
    <w:rsid w:val="71F96A05"/>
    <w:rsid w:val="71FE04BF"/>
    <w:rsid w:val="72343EE1"/>
    <w:rsid w:val="72B56DCF"/>
    <w:rsid w:val="72BF37AA"/>
    <w:rsid w:val="73497518"/>
    <w:rsid w:val="737E18B7"/>
    <w:rsid w:val="7392524F"/>
    <w:rsid w:val="73944C37"/>
    <w:rsid w:val="73AF7CC3"/>
    <w:rsid w:val="73EB05CF"/>
    <w:rsid w:val="75412B9C"/>
    <w:rsid w:val="75F61BD9"/>
    <w:rsid w:val="766C2B27"/>
    <w:rsid w:val="766F54E7"/>
    <w:rsid w:val="76DA32A9"/>
    <w:rsid w:val="76E45ED5"/>
    <w:rsid w:val="77106CCA"/>
    <w:rsid w:val="77A64F39"/>
    <w:rsid w:val="77B16BC4"/>
    <w:rsid w:val="782C7B34"/>
    <w:rsid w:val="79030169"/>
    <w:rsid w:val="7924080B"/>
    <w:rsid w:val="79764918"/>
    <w:rsid w:val="7A590988"/>
    <w:rsid w:val="7AE244DA"/>
    <w:rsid w:val="7C23124E"/>
    <w:rsid w:val="7C7F3FAA"/>
    <w:rsid w:val="7CAC1243"/>
    <w:rsid w:val="7CCD740C"/>
    <w:rsid w:val="7D60202E"/>
    <w:rsid w:val="7D9F2B22"/>
    <w:rsid w:val="7DFC1D56"/>
    <w:rsid w:val="7E0B01EB"/>
    <w:rsid w:val="7E553215"/>
    <w:rsid w:val="7E7649FF"/>
    <w:rsid w:val="7EB51F05"/>
    <w:rsid w:val="7F710522"/>
    <w:rsid w:val="7FD55181"/>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4">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sz w:val="32"/>
    </w:rPr>
  </w:style>
  <w:style w:type="paragraph" w:styleId="5">
    <w:name w:val="Body Text 2"/>
    <w:basedOn w:val="1"/>
    <w:qFormat/>
    <w:uiPriority w:val="0"/>
    <w:pPr>
      <w:adjustRightInd w:val="0"/>
      <w:snapToGrid w:val="0"/>
      <w:spacing w:after="120" w:afterLines="0" w:afterAutospacing="0" w:line="480" w:lineRule="auto"/>
    </w:pPr>
    <w:rPr>
      <w:sz w:val="24"/>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w:basedOn w:val="2"/>
    <w:qFormat/>
    <w:uiPriority w:val="0"/>
    <w:pPr>
      <w:spacing w:line="360" w:lineRule="auto"/>
      <w:ind w:firstLine="420"/>
    </w:pPr>
    <w:rPr>
      <w:rFonts w:ascii="宋体" w:hAnsi="宋体"/>
      <w:sz w:val="24"/>
    </w:rPr>
  </w:style>
  <w:style w:type="character" w:customStyle="1" w:styleId="10">
    <w:name w:val="NormalCharacter"/>
    <w:semiHidden/>
    <w:qFormat/>
    <w:uiPriority w:val="0"/>
    <w:rPr>
      <w:rFonts w:ascii="Verdana" w:hAnsi="Verdana" w:eastAsia="仿宋_GB2312"/>
      <w:sz w:val="24"/>
      <w:lang w:val="en-US" w:eastAsia="en-US" w:bidi="ar-SA"/>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660</Words>
  <Characters>704</Characters>
  <Lines>0</Lines>
  <Paragraphs>0</Paragraphs>
  <TotalTime>0</TotalTime>
  <ScaleCrop>false</ScaleCrop>
  <LinksUpToDate>false</LinksUpToDate>
  <CharactersWithSpaces>705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陈瑞林</cp:lastModifiedBy>
  <dcterms:modified xsi:type="dcterms:W3CDTF">2026-10-09T11:11:37Z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eyJoZGlkIjoiMjEwZTk0M2Y5YjMzNGVhZjViYjFhMmVhM2Y3YzVjNDIiLCJ1c2VySWQiOiIxNTY5OTAxMDkyIn0=</vt:lpwstr>
  </property>
  <property fmtid="{D5CDD505-2E9C-101B-9397-08002B2CF9AE}" pid="4" name="ICV">
    <vt:lpwstr>3116790BB29143769C3A7452F4900118_12</vt:lpwstr>
  </property>
</Properties>
</file>