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CBD7">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bookmarkStart w:id="0" w:name="_Toc906"/>
      <w:bookmarkStart w:id="1" w:name="_Toc14024"/>
      <w:bookmarkStart w:id="2" w:name="_Toc17413"/>
      <w:bookmarkStart w:id="3" w:name="_Toc17010"/>
      <w:bookmarkStart w:id="4" w:name="_Toc15809"/>
      <w:bookmarkStart w:id="5" w:name="_Toc2771"/>
      <w:r>
        <w:rPr>
          <w:rFonts w:hint="eastAsia" w:ascii="方正小标宋_GBK" w:hAnsi="方正小标宋_GBK" w:eastAsia="方正小标宋_GBK" w:cs="方正小标宋_GBK"/>
          <w:b/>
          <w:color w:val="000000" w:themeColor="text1"/>
          <w:sz w:val="52"/>
          <w:szCs w:val="52"/>
          <w14:textFill>
            <w14:solidFill>
              <w14:schemeClr w14:val="tx1"/>
            </w14:solidFill>
          </w14:textFill>
        </w:rPr>
        <w:t>重庆医科大学附属</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康复</w:t>
      </w:r>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医院</w:t>
      </w:r>
      <w:bookmarkEnd w:id="0"/>
      <w:bookmarkEnd w:id="1"/>
      <w:bookmarkEnd w:id="2"/>
      <w:bookmarkEnd w:id="3"/>
      <w:bookmarkEnd w:id="4"/>
      <w:bookmarkEnd w:id="5"/>
      <w:bookmarkStart w:id="6" w:name="_Toc20035"/>
      <w:bookmarkStart w:id="7" w:name="_Toc26360"/>
      <w:bookmarkStart w:id="8" w:name="_Toc25543"/>
      <w:bookmarkStart w:id="9" w:name="_Toc19887"/>
      <w:bookmarkStart w:id="10" w:name="_Toc1831"/>
      <w:bookmarkStart w:id="11" w:name="_Toc20549"/>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医用耗材</w:t>
      </w:r>
    </w:p>
    <w:p w14:paraId="6B70F6A4">
      <w:pPr>
        <w:ind w:firstLine="0" w:firstLineChars="0"/>
        <w:jc w:val="center"/>
        <w:outlineLvl w:val="0"/>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14:textFill>
            <w14:solidFill>
              <w14:schemeClr w14:val="tx1"/>
            </w14:solidFill>
          </w14:textFill>
        </w:rPr>
        <w:t>遴选公告</w:t>
      </w:r>
      <w:bookmarkEnd w:id="6"/>
      <w:bookmarkEnd w:id="7"/>
      <w:bookmarkEnd w:id="8"/>
      <w:bookmarkEnd w:id="9"/>
      <w:bookmarkEnd w:id="10"/>
      <w:bookmarkEnd w:id="11"/>
    </w:p>
    <w:p w14:paraId="583BCB46">
      <w:pPr>
        <w:pStyle w:val="4"/>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5F3B5C30">
      <w:pPr>
        <w:pStyle w:val="5"/>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09FFF445">
      <w:pPr>
        <w:spacing w:line="360" w:lineRule="auto"/>
        <w:ind w:left="0" w:leftChars="0" w:firstLine="1080" w:firstLineChars="3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CYKF-HL2026010</w:t>
      </w:r>
    </w:p>
    <w:p w14:paraId="668A02D7">
      <w:pPr>
        <w:spacing w:line="360" w:lineRule="auto"/>
        <w:ind w:left="2880" w:leftChars="450" w:hanging="1800" w:hangingChars="500"/>
        <w:jc w:val="both"/>
        <w:outlineLvl w:val="0"/>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bookmarkStart w:id="12" w:name="OLE_LINK105"/>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bookmarkEnd w:id="12"/>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生化类、发光免疫类试剂项目</w:t>
      </w:r>
    </w:p>
    <w:p w14:paraId="3E0DB6E6">
      <w:pPr>
        <w:pStyle w:val="10"/>
        <w:rPr>
          <w:rFonts w:hint="eastAsia"/>
          <w:color w:val="000000" w:themeColor="text1"/>
          <w14:textFill>
            <w14:solidFill>
              <w14:schemeClr w14:val="tx1"/>
            </w14:solidFill>
          </w14:textFill>
        </w:rPr>
      </w:pPr>
    </w:p>
    <w:p w14:paraId="5200B08F">
      <w:pPr>
        <w:rPr>
          <w:rFonts w:hint="eastAsia"/>
          <w:color w:val="000000" w:themeColor="text1"/>
          <w14:textFill>
            <w14:solidFill>
              <w14:schemeClr w14:val="tx1"/>
            </w14:solidFill>
          </w14:textFill>
        </w:rPr>
      </w:pPr>
    </w:p>
    <w:p w14:paraId="2556D350">
      <w:pPr>
        <w:rPr>
          <w:rFonts w:hint="eastAsia"/>
          <w:color w:val="000000" w:themeColor="text1"/>
          <w14:textFill>
            <w14:solidFill>
              <w14:schemeClr w14:val="tx1"/>
            </w14:solidFill>
          </w14:textFill>
        </w:rPr>
      </w:pPr>
    </w:p>
    <w:p w14:paraId="72736A0F">
      <w:pPr>
        <w:rPr>
          <w:rFonts w:hint="eastAsia"/>
          <w:color w:val="000000" w:themeColor="text1"/>
          <w14:textFill>
            <w14:solidFill>
              <w14:schemeClr w14:val="tx1"/>
            </w14:solidFill>
          </w14:textFill>
        </w:rPr>
      </w:pPr>
    </w:p>
    <w:p w14:paraId="57C160AF">
      <w:pPr>
        <w:rPr>
          <w:rFonts w:hint="eastAsia"/>
          <w:color w:val="000000" w:themeColor="text1"/>
          <w14:textFill>
            <w14:solidFill>
              <w14:schemeClr w14:val="tx1"/>
            </w14:solidFill>
          </w14:textFill>
        </w:rPr>
      </w:pPr>
    </w:p>
    <w:p w14:paraId="16202CF6">
      <w:pPr>
        <w:rPr>
          <w:rFonts w:hint="eastAsia"/>
          <w:color w:val="000000" w:themeColor="text1"/>
          <w14:textFill>
            <w14:solidFill>
              <w14:schemeClr w14:val="tx1"/>
            </w14:solidFill>
          </w14:textFill>
        </w:rPr>
      </w:pPr>
    </w:p>
    <w:p w14:paraId="792F2561">
      <w:pPr>
        <w:rPr>
          <w:rFonts w:hint="eastAsia"/>
          <w:color w:val="000000" w:themeColor="text1"/>
          <w14:textFill>
            <w14:solidFill>
              <w14:schemeClr w14:val="tx1"/>
            </w14:solidFill>
          </w14:textFill>
        </w:rPr>
      </w:pPr>
    </w:p>
    <w:p w14:paraId="4835F5E6">
      <w:pPr>
        <w:rPr>
          <w:rFonts w:hint="eastAsia"/>
          <w:color w:val="000000" w:themeColor="text1"/>
          <w14:textFill>
            <w14:solidFill>
              <w14:schemeClr w14:val="tx1"/>
            </w14:solidFill>
          </w14:textFill>
        </w:rPr>
      </w:pPr>
    </w:p>
    <w:p w14:paraId="121BBCE0">
      <w:pPr>
        <w:rPr>
          <w:rFonts w:hint="eastAsia"/>
          <w:color w:val="000000" w:themeColor="text1"/>
          <w14:textFill>
            <w14:solidFill>
              <w14:schemeClr w14:val="tx1"/>
            </w14:solidFill>
          </w14:textFill>
        </w:rPr>
      </w:pPr>
    </w:p>
    <w:p w14:paraId="6E2A138A">
      <w:pPr>
        <w:rPr>
          <w:rFonts w:hint="eastAsia"/>
          <w:color w:val="000000" w:themeColor="text1"/>
          <w14:textFill>
            <w14:solidFill>
              <w14:schemeClr w14:val="tx1"/>
            </w14:solidFill>
          </w14:textFill>
        </w:rPr>
      </w:pPr>
    </w:p>
    <w:p w14:paraId="7749EC2A">
      <w:pPr>
        <w:pStyle w:val="5"/>
        <w:ind w:firstLine="2200" w:firstLineChars="500"/>
        <w:jc w:val="both"/>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lang w:eastAsia="zh-CN"/>
          <w14:textFill>
            <w14:solidFill>
              <w14:schemeClr w14:val="tx1"/>
            </w14:solidFill>
          </w14:textFill>
        </w:rPr>
        <w:t>重庆医科大学附属康复医院</w:t>
      </w:r>
    </w:p>
    <w:p w14:paraId="5E5BDB9A">
      <w:pPr>
        <w:pStyle w:val="5"/>
        <w:ind w:left="0" w:leftChars="0" w:firstLine="0" w:firstLineChars="0"/>
        <w:jc w:val="cente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44"/>
          <w:szCs w:val="44"/>
          <w:lang w:val="en-US" w:eastAsia="zh-CN"/>
          <w14:textFill>
            <w14:solidFill>
              <w14:schemeClr w14:val="tx1"/>
            </w14:solidFill>
          </w14:textFill>
        </w:rPr>
        <w:t>2026年10月</w:t>
      </w:r>
    </w:p>
    <w:p w14:paraId="699FE412">
      <w:pPr>
        <w:ind w:left="0" w:leftChars="0" w:firstLine="0" w:firstLineChars="0"/>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p>
    <w:p w14:paraId="6C4E9CDB">
      <w:pPr>
        <w:pStyle w:val="5"/>
        <w:jc w:val="center"/>
        <w:rPr>
          <w:rFonts w:hint="eastAsia" w:ascii="方正仿宋_GBK" w:hAnsi="方正仿宋_GBK" w:eastAsia="方正仿宋_GBK" w:cs="方正仿宋_GBK"/>
          <w:b/>
          <w:bCs/>
          <w:color w:val="000000" w:themeColor="text1"/>
          <w:sz w:val="48"/>
          <w:szCs w:val="48"/>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sz w:val="48"/>
          <w:szCs w:val="48"/>
          <w:lang w:val="en-US" w:eastAsia="zh-CN"/>
          <w14:textFill>
            <w14:solidFill>
              <w14:schemeClr w14:val="tx1"/>
            </w14:solidFill>
          </w14:textFill>
        </w:rPr>
        <w:t>目  录</w:t>
      </w:r>
    </w:p>
    <w:p w14:paraId="70C5616D">
      <w:pPr>
        <w:pStyle w:val="5"/>
        <w:ind w:left="0" w:leftChars="0" w:firstLine="0" w:firstLineChars="0"/>
        <w:jc w:val="both"/>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3" w:name="OLE_LINK1"/>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第一篇 遴选邀请书</w:t>
      </w:r>
    </w:p>
    <w:bookmarkEnd w:id="13"/>
    <w:p w14:paraId="6AFCB0CA">
      <w:pPr>
        <w:pStyle w:val="5"/>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耗材遴选名称及内容</w:t>
      </w:r>
    </w:p>
    <w:p w14:paraId="2B2DDA37">
      <w:pPr>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资金来源</w:t>
      </w:r>
    </w:p>
    <w:p w14:paraId="7BA5BE92">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4" w:name="OLE_LINK5"/>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投标人资格条件要求</w:t>
      </w:r>
    </w:p>
    <w:bookmarkEnd w:id="14"/>
    <w:p w14:paraId="0FFC471B">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5" w:name="OLE_LINK6"/>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遴选公告时间</w:t>
      </w:r>
    </w:p>
    <w:bookmarkEnd w:id="15"/>
    <w:p w14:paraId="584EFBC3">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6" w:name="OLE_LINK7"/>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五、</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响应文件递交截止时间及地点</w:t>
      </w:r>
    </w:p>
    <w:bookmarkEnd w:id="16"/>
    <w:p w14:paraId="01C14C01">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六、</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议价</w:t>
      </w:r>
    </w:p>
    <w:p w14:paraId="53182F46">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7" w:name="OLE_LINK11"/>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其它</w:t>
      </w:r>
    </w:p>
    <w:p w14:paraId="22D11D29">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联系方式</w:t>
      </w:r>
    </w:p>
    <w:bookmarkEnd w:id="17"/>
    <w:p w14:paraId="15C20DC0">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8" w:name="OLE_LINK2"/>
      <w:bookmarkStart w:id="19" w:name="OLE_LINK15"/>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第二篇 遴选项目</w:t>
      </w:r>
      <w:bookmarkStart w:id="20" w:name="OLE_LINK8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技术（质量）要求</w:t>
      </w:r>
      <w:bookmarkEnd w:id="18"/>
      <w:bookmarkEnd w:id="20"/>
    </w:p>
    <w:bookmarkEnd w:id="19"/>
    <w:p w14:paraId="41FE7529">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21" w:name="OLE_LINK3"/>
      <w:bookmarkStart w:id="22" w:name="OLE_LINK1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第三篇 遴选项目商务要求</w:t>
      </w:r>
    </w:p>
    <w:bookmarkEnd w:id="21"/>
    <w:p w14:paraId="4B76EDF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一、服务期限</w:t>
      </w:r>
    </w:p>
    <w:p w14:paraId="30255998">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23" w:name="OLE_LINK17"/>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二、交货时间、交货地点及验收方式</w:t>
      </w:r>
    </w:p>
    <w:bookmarkEnd w:id="23"/>
    <w:p w14:paraId="2F41E16A">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三、报价要求</w:t>
      </w:r>
    </w:p>
    <w:p w14:paraId="2CD3CCAF">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四、质量保证及售后服务</w:t>
      </w:r>
    </w:p>
    <w:p w14:paraId="20E5F2BF">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五、付款方式</w:t>
      </w:r>
    </w:p>
    <w:p w14:paraId="31798599">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六、其它</w:t>
      </w:r>
      <w:bookmarkEnd w:id="22"/>
      <w:bookmarkStart w:id="24" w:name="OLE_LINK26"/>
      <w:bookmarkStart w:id="25" w:name="OLE_LINK21"/>
    </w:p>
    <w:p w14:paraId="42D8DF6E">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第四篇 </w:t>
      </w:r>
      <w:bookmarkEnd w:id="24"/>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遴选项目采购程序及方法、评审标准、无效响应和</w:t>
      </w:r>
      <w:bookmarkStart w:id="26" w:name="OLE_LINK3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采购终止</w:t>
      </w:r>
    </w:p>
    <w:bookmarkEnd w:id="26"/>
    <w:p w14:paraId="13DCFB63">
      <w:pPr>
        <w:jc w:val="left"/>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w:t>
      </w: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采购程序及评审办法</w:t>
      </w:r>
    </w:p>
    <w:p w14:paraId="2F9013EE">
      <w:pPr>
        <w:adjustRightInd w:val="0"/>
        <w:snapToGrid w:val="0"/>
        <w:spacing w:line="360" w:lineRule="auto"/>
        <w:ind w:firstLine="482" w:firstLineChars="200"/>
        <w:rPr>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p w14:paraId="3AD04BC3">
      <w:pPr>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三、</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无效响应</w:t>
      </w:r>
    </w:p>
    <w:p w14:paraId="12908D4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采购终止</w:t>
      </w:r>
    </w:p>
    <w:p w14:paraId="6C4299CD">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27" w:name="OLE_LINK32"/>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第五篇 投标人须知</w:t>
      </w:r>
    </w:p>
    <w:bookmarkEnd w:id="27"/>
    <w:p w14:paraId="2406E8E6">
      <w:pPr>
        <w:ind w:left="0" w:leftChars="0" w:firstLine="0" w:firstLineChars="0"/>
        <w:jc w:val="left"/>
        <w:rPr>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第六篇 </w:t>
      </w:r>
      <w:bookmarkStart w:id="28" w:name="OLE_LINK53"/>
      <w:bookmarkStart w:id="29" w:name="OLE_LINK69"/>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w:t>
      </w:r>
      <w:bookmarkEnd w:id="2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格式</w:t>
      </w:r>
      <w:bookmarkEnd w:id="25"/>
      <w:bookmarkEnd w:id="29"/>
    </w:p>
    <w:p w14:paraId="3B9B6398">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第一篇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遴选邀请书</w:t>
      </w:r>
    </w:p>
    <w:p w14:paraId="382CE41E">
      <w:pPr>
        <w:spacing w:line="240" w:lineRule="auto"/>
        <w:outlineLvl w:val="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重庆医科大学附属康复医院是隶属于重庆医科大学的非营利性三级康复医院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，由三个院区组成，分别是</w:t>
      </w:r>
      <w:bookmarkStart w:id="30" w:name="OLE_LINK31"/>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黄水院区、大公馆院区及大渡口院区</w:t>
      </w:r>
      <w:bookmarkEnd w:id="30"/>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为</w:t>
      </w:r>
      <w:r>
        <w:rPr>
          <w:rFonts w:hint="eastAsia" w:ascii="方正仿宋_GBK" w:hAnsi="方正仿宋_GBK" w:eastAsia="方正仿宋_GBK" w:cs="方正仿宋_GBK"/>
          <w:color w:val="000000" w:themeColor="text1"/>
          <w:sz w:val="28"/>
          <w:szCs w:val="28"/>
          <w14:textFill>
            <w14:solidFill>
              <w14:schemeClr w14:val="tx1"/>
            </w14:solidFill>
          </w14:textFill>
        </w:rPr>
        <w:t>满足医院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业务</w:t>
      </w:r>
      <w:r>
        <w:rPr>
          <w:rFonts w:hint="eastAsia" w:ascii="方正仿宋_GBK" w:hAnsi="方正仿宋_GBK" w:eastAsia="方正仿宋_GBK" w:cs="方正仿宋_GBK"/>
          <w:color w:val="000000" w:themeColor="text1"/>
          <w:sz w:val="28"/>
          <w:szCs w:val="28"/>
          <w14:textFill>
            <w14:solidFill>
              <w14:schemeClr w14:val="tx1"/>
            </w14:solidFill>
          </w14:textFill>
        </w:rPr>
        <w:t>发展需要</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拟</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对</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医院</w:t>
      </w:r>
      <w:r>
        <w:rPr>
          <w:rFonts w:hint="eastAsia" w:ascii="方正仿宋_GBK" w:hAnsi="方正仿宋_GBK" w:eastAsia="方正仿宋_GBK" w:cs="方正仿宋_GBK"/>
          <w:b w:val="0"/>
          <w:bCs w:val="0"/>
          <w:color w:val="000000" w:themeColor="text1"/>
          <w:sz w:val="28"/>
          <w:szCs w:val="28"/>
          <w:highlight w:val="none"/>
          <w:u w:val="none"/>
          <w:lang w:val="en-US" w:eastAsia="zh-CN"/>
          <w14:textFill>
            <w14:solidFill>
              <w14:schemeClr w14:val="tx1"/>
            </w14:solidFill>
          </w14:textFill>
        </w:rPr>
        <w:t>以下</w:t>
      </w:r>
      <w:r>
        <w:rPr>
          <w:rFonts w:hint="eastAsia" w:ascii="方正仿宋_GBK" w:hAnsi="方正仿宋_GBK" w:eastAsia="方正仿宋_GBK" w:cs="方正仿宋_GBK"/>
          <w:color w:val="000000" w:themeColor="text1"/>
          <w:sz w:val="28"/>
          <w:szCs w:val="28"/>
          <w:highlight w:val="none"/>
          <w:u w:val="none"/>
          <w:lang w:val="en-US" w:eastAsia="zh-CN"/>
          <w14:textFill>
            <w14:solidFill>
              <w14:schemeClr w14:val="tx1"/>
            </w14:solidFill>
          </w14:textFill>
        </w:rPr>
        <w:t>项目</w:t>
      </w:r>
      <w:r>
        <w:rPr>
          <w:rFonts w:hint="eastAsia" w:ascii="方正仿宋_GBK" w:hAnsi="方正仿宋_GBK" w:eastAsia="方正仿宋_GBK" w:cs="方正仿宋_GBK"/>
          <w:b w:val="0"/>
          <w:bCs w:val="0"/>
          <w:color w:val="000000" w:themeColor="text1"/>
          <w:sz w:val="28"/>
          <w:szCs w:val="28"/>
          <w:highlight w:val="none"/>
          <w:u w:val="none"/>
          <w14:textFill>
            <w14:solidFill>
              <w14:schemeClr w14:val="tx1"/>
            </w14:solidFill>
          </w14:textFill>
        </w:rPr>
        <w:t>进</w:t>
      </w:r>
      <w:r>
        <w:rPr>
          <w:rFonts w:hint="eastAsia" w:ascii="方正仿宋_GBK" w:hAnsi="方正仿宋_GBK" w:eastAsia="方正仿宋_GBK" w:cs="方正仿宋_GBK"/>
          <w:b w:val="0"/>
          <w:bCs w:val="0"/>
          <w:color w:val="000000" w:themeColor="text1"/>
          <w:sz w:val="28"/>
          <w:szCs w:val="28"/>
          <w:u w:val="none"/>
          <w14:textFill>
            <w14:solidFill>
              <w14:schemeClr w14:val="tx1"/>
            </w14:solidFill>
          </w14:textFill>
        </w:rPr>
        <w:t>行</w:t>
      </w:r>
      <w:r>
        <w:rPr>
          <w:rFonts w:hint="eastAsia" w:ascii="方正仿宋_GBK" w:hAnsi="方正仿宋_GBK" w:eastAsia="方正仿宋_GBK" w:cs="方正仿宋_GBK"/>
          <w:b w:val="0"/>
          <w:bCs w:val="0"/>
          <w:color w:val="000000" w:themeColor="text1"/>
          <w:sz w:val="28"/>
          <w:szCs w:val="28"/>
          <w:u w:val="none"/>
          <w:lang w:eastAsia="zh-CN"/>
          <w14:textFill>
            <w14:solidFill>
              <w14:schemeClr w14:val="tx1"/>
            </w14:solidFill>
          </w14:textFill>
        </w:rPr>
        <w:t>耗材遴选采购</w:t>
      </w:r>
      <w:r>
        <w:rPr>
          <w:rFonts w:hint="eastAsia" w:ascii="方正仿宋_GBK" w:hAnsi="方正仿宋_GBK" w:eastAsia="方正仿宋_GBK" w:cs="方正仿宋_GBK"/>
          <w:color w:val="000000" w:themeColor="text1"/>
          <w:sz w:val="28"/>
          <w:szCs w:val="28"/>
          <w14:textFill>
            <w14:solidFill>
              <w14:schemeClr w14:val="tx1"/>
            </w14:solidFill>
          </w14:textFill>
        </w:rPr>
        <w:t>，欢迎</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符合相关资格</w:t>
      </w:r>
      <w:r>
        <w:rPr>
          <w:rFonts w:hint="eastAsia" w:ascii="方正仿宋_GBK" w:hAnsi="方正仿宋_GBK" w:eastAsia="方正仿宋_GBK" w:cs="方正仿宋_GBK"/>
          <w:color w:val="000000" w:themeColor="text1"/>
          <w:sz w:val="28"/>
          <w:szCs w:val="28"/>
          <w14:textFill>
            <w14:solidFill>
              <w14:schemeClr w14:val="tx1"/>
            </w14:solidFill>
          </w14:textFill>
        </w:rPr>
        <w:t>的</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投标人参与</w:t>
      </w:r>
      <w:r>
        <w:rPr>
          <w:rFonts w:hint="eastAsia" w:ascii="方正仿宋_GBK" w:hAnsi="方正仿宋_GBK" w:eastAsia="方正仿宋_GBK" w:cs="方正仿宋_GBK"/>
          <w:color w:val="000000" w:themeColor="text1"/>
          <w:sz w:val="28"/>
          <w:szCs w:val="28"/>
          <w14:textFill>
            <w14:solidFill>
              <w14:schemeClr w14:val="tx1"/>
            </w14:solidFill>
          </w14:textFill>
        </w:rPr>
        <w:t>。</w:t>
      </w:r>
      <w:bookmarkStart w:id="31" w:name="_Toc465084019"/>
    </w:p>
    <w:p w14:paraId="6517B68A">
      <w:pPr>
        <w:pStyle w:val="3"/>
        <w:numPr>
          <w:ilvl w:val="0"/>
          <w:numId w:val="0"/>
        </w:numPr>
        <w:spacing w:line="240" w:lineRule="auto"/>
        <w:ind w:firstLine="562" w:firstLineChars="200"/>
        <w:jc w:val="both"/>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遴选</w:t>
      </w:r>
      <w:r>
        <w:rPr>
          <w:rFonts w:hint="eastAsia" w:ascii="方正仿宋_GBK" w:hAnsi="方正仿宋_GBK" w:eastAsia="方正仿宋_GBK" w:cs="方正仿宋_GBK"/>
          <w:color w:val="000000" w:themeColor="text1"/>
          <w:sz w:val="28"/>
          <w:szCs w:val="28"/>
          <w14:textFill>
            <w14:solidFill>
              <w14:schemeClr w14:val="tx1"/>
            </w14:solidFill>
          </w14:textFill>
        </w:rPr>
        <w:t>项目</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名称及</w:t>
      </w:r>
      <w:r>
        <w:rPr>
          <w:rFonts w:hint="eastAsia" w:ascii="方正仿宋_GBK" w:hAnsi="方正仿宋_GBK" w:eastAsia="方正仿宋_GBK" w:cs="方正仿宋_GBK"/>
          <w:color w:val="000000" w:themeColor="text1"/>
          <w:sz w:val="28"/>
          <w:szCs w:val="28"/>
          <w14:textFill>
            <w14:solidFill>
              <w14:schemeClr w14:val="tx1"/>
            </w14:solidFill>
          </w14:textFill>
        </w:rPr>
        <w:t>内容</w:t>
      </w:r>
      <w:bookmarkEnd w:id="31"/>
    </w:p>
    <w:tbl>
      <w:tblPr>
        <w:tblStyle w:val="12"/>
        <w:tblW w:w="4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3280"/>
        <w:gridCol w:w="2376"/>
      </w:tblGrid>
      <w:tr w14:paraId="237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396" w:type="pct"/>
            <w:tcBorders>
              <w:top w:val="single" w:color="auto" w:sz="4" w:space="0"/>
              <w:left w:val="single" w:color="auto" w:sz="4" w:space="0"/>
              <w:right w:val="single" w:color="auto" w:sz="4" w:space="0"/>
            </w:tcBorders>
            <w:noWrap w:val="0"/>
            <w:vAlign w:val="center"/>
          </w:tcPr>
          <w:p w14:paraId="2C745B62">
            <w:pPr>
              <w:widowControl/>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bookmarkStart w:id="32" w:name="OLE_LINK4"/>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bookmarkEnd w:id="32"/>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编号</w:t>
            </w:r>
          </w:p>
        </w:tc>
        <w:tc>
          <w:tcPr>
            <w:tcW w:w="2089" w:type="pct"/>
            <w:tcBorders>
              <w:top w:val="single" w:color="auto" w:sz="4" w:space="0"/>
              <w:left w:val="single" w:color="auto" w:sz="4" w:space="0"/>
              <w:right w:val="single" w:color="auto" w:sz="4" w:space="0"/>
            </w:tcBorders>
            <w:noWrap w:val="0"/>
            <w:vAlign w:val="center"/>
          </w:tcPr>
          <w:p w14:paraId="7EAE62F2">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名称</w:t>
            </w:r>
          </w:p>
        </w:tc>
        <w:tc>
          <w:tcPr>
            <w:tcW w:w="1513" w:type="pct"/>
            <w:tcBorders>
              <w:top w:val="single" w:color="auto" w:sz="4" w:space="0"/>
              <w:left w:val="single" w:color="auto" w:sz="4" w:space="0"/>
              <w:right w:val="single" w:color="auto" w:sz="4" w:space="0"/>
            </w:tcBorders>
            <w:noWrap w:val="0"/>
            <w:vAlign w:val="center"/>
          </w:tcPr>
          <w:p w14:paraId="2477135C">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备注</w:t>
            </w:r>
          </w:p>
        </w:tc>
      </w:tr>
      <w:tr w14:paraId="09F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396" w:type="pct"/>
            <w:tcBorders>
              <w:left w:val="single" w:color="auto" w:sz="4" w:space="0"/>
              <w:right w:val="single" w:color="auto" w:sz="4" w:space="0"/>
            </w:tcBorders>
            <w:noWrap w:val="0"/>
            <w:vAlign w:val="center"/>
          </w:tcPr>
          <w:p w14:paraId="4E7D4360">
            <w:pPr>
              <w:spacing w:line="240" w:lineRule="auto"/>
              <w:ind w:left="0" w:leftChars="0" w:firstLine="0" w:firstLineChars="0"/>
              <w:jc w:val="cente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3" w:name="_Hlk344477914"/>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CYKF-HL2026010</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41C45E9C">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生化类、发光免疫类试剂</w:t>
            </w:r>
          </w:p>
        </w:tc>
        <w:tc>
          <w:tcPr>
            <w:tcW w:w="1513" w:type="pct"/>
            <w:tcBorders>
              <w:left w:val="single" w:color="auto" w:sz="4" w:space="0"/>
              <w:right w:val="single" w:color="auto" w:sz="4" w:space="0"/>
            </w:tcBorders>
            <w:noWrap w:val="0"/>
            <w:vAlign w:val="center"/>
          </w:tcPr>
          <w:p w14:paraId="2BDABDBF">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4" w:name="OLE_LINK110"/>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单价合同，据实结算</w:t>
            </w:r>
            <w:bookmarkEnd w:id="34"/>
          </w:p>
        </w:tc>
      </w:tr>
      <w:bookmarkEnd w:id="33"/>
    </w:tbl>
    <w:p w14:paraId="4D869755">
      <w:pPr>
        <w:spacing w:line="240" w:lineRule="auto"/>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lang w:val="en-US" w:eastAsia="zh-CN"/>
          <w14:textFill>
            <w14:solidFill>
              <w14:schemeClr w14:val="tx1"/>
            </w14:solidFill>
          </w14:textFill>
        </w:rPr>
        <w:t>备注：</w:t>
      </w:r>
      <w:r>
        <w:rPr>
          <w:rFonts w:hint="eastAsia" w:ascii="方正仿宋_GBK" w:hAnsi="方正仿宋_GBK" w:eastAsia="方正仿宋_GBK" w:cs="方正仿宋_GBK"/>
          <w:b w:val="0"/>
          <w:bCs w:val="0"/>
          <w:color w:val="000000" w:themeColor="text1"/>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Cs w:val="24"/>
          <w14:textFill>
            <w14:solidFill>
              <w14:schemeClr w14:val="tx1"/>
            </w14:solidFill>
          </w14:textFill>
        </w:rPr>
        <w:t>具</w:t>
      </w:r>
      <w:r>
        <w:rPr>
          <w:rFonts w:hint="eastAsia" w:ascii="方正仿宋_GBK" w:hAnsi="方正仿宋_GBK" w:eastAsia="方正仿宋_GBK" w:cs="方正仿宋_GBK"/>
          <w:color w:val="000000" w:themeColor="text1"/>
          <w:szCs w:val="24"/>
          <w14:textFill>
            <w14:solidFill>
              <w14:schemeClr w14:val="tx1"/>
            </w14:solidFill>
          </w14:textFill>
        </w:rPr>
        <w:t>体产品目录见</w:t>
      </w:r>
      <w:r>
        <w:rPr>
          <w:rFonts w:hint="eastAsia" w:ascii="方正仿宋_GBK" w:hAnsi="方正仿宋_GBK" w:eastAsia="方正仿宋_GBK" w:cs="方正仿宋_GBK"/>
          <w:b/>
          <w:bCs/>
          <w:color w:val="000000" w:themeColor="text1"/>
          <w:szCs w:val="24"/>
          <w:u w:val="single"/>
          <w14:textFill>
            <w14:solidFill>
              <w14:schemeClr w14:val="tx1"/>
            </w14:solidFill>
          </w14:textFill>
        </w:rPr>
        <w:t>附件</w:t>
      </w:r>
      <w:r>
        <w:rPr>
          <w:rFonts w:hint="eastAsia" w:ascii="方正仿宋_GBK" w:hAnsi="方正仿宋_GBK" w:eastAsia="方正仿宋_GBK" w:cs="方正仿宋_GBK"/>
          <w:b/>
          <w:bCs/>
          <w:color w:val="000000" w:themeColor="text1"/>
          <w:szCs w:val="24"/>
          <w:u w:val="singl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。投标人请务必按照附件一中需求耗材名称及要求提交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，超出需求范围和不满足要求的</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将被</w:t>
      </w:r>
      <w:r>
        <w:rPr>
          <w:rFonts w:hint="eastAsia" w:ascii="方正仿宋_GBK" w:hAnsi="方正仿宋_GBK" w:eastAsia="方正仿宋_GBK" w:cs="方正仿宋_GBK"/>
          <w:color w:val="000000" w:themeColor="text1"/>
          <w:szCs w:val="24"/>
          <w:lang w:eastAsia="zh-CN"/>
          <w14:textFill>
            <w14:solidFill>
              <w14:schemeClr w14:val="tx1"/>
            </w14:solidFill>
          </w14:textFill>
        </w:rPr>
        <w:t>视</w:t>
      </w:r>
      <w:r>
        <w:rPr>
          <w:rFonts w:hint="eastAsia" w:ascii="方正仿宋_GBK" w:hAnsi="方正仿宋_GBK" w:eastAsia="方正仿宋_GBK" w:cs="方正仿宋_GBK"/>
          <w:color w:val="000000" w:themeColor="text1"/>
          <w:szCs w:val="24"/>
          <w14:textFill>
            <w14:solidFill>
              <w14:schemeClr w14:val="tx1"/>
            </w14:solidFill>
          </w14:textFill>
        </w:rPr>
        <w:t>为不合格响应文件。</w:t>
      </w:r>
    </w:p>
    <w:p w14:paraId="4F2DB156">
      <w:pPr>
        <w:spacing w:line="240" w:lineRule="auto"/>
        <w:rPr>
          <w:rFonts w:hint="default" w:ascii="方正仿宋_GBK" w:hAnsi="方正仿宋_GBK" w:eastAsia="方正仿宋_GBK" w:cs="方正仿宋_GBK"/>
          <w:b/>
          <w:bCs/>
          <w:strike/>
          <w:dstrike w:val="0"/>
          <w:color w:val="000000" w:themeColor="text1"/>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2.投标人如需参与上述各分包项目，须按参与的分包项目分别制作响应文件。</w:t>
      </w:r>
    </w:p>
    <w:p w14:paraId="388683E5">
      <w:pPr>
        <w:pStyle w:val="4"/>
        <w:numPr>
          <w:ilvl w:val="0"/>
          <w:numId w:val="0"/>
        </w:numPr>
        <w:spacing w:line="240" w:lineRule="auto"/>
        <w:ind w:left="0" w:leftChars="0" w:firstLine="480" w:firstLineChars="200"/>
        <w:jc w:val="left"/>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资金来源</w:t>
      </w:r>
    </w:p>
    <w:p w14:paraId="2AAAD837">
      <w:pPr>
        <w:pStyle w:val="5"/>
        <w:spacing w:line="240" w:lineRule="auto"/>
        <w:jc w:val="left"/>
        <w:rPr>
          <w:rFonts w:hint="eastAsia"/>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医院自筹</w:t>
      </w:r>
    </w:p>
    <w:p w14:paraId="69F638CA">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三、投标人资格条件要求</w:t>
      </w:r>
    </w:p>
    <w:p w14:paraId="5575BE28">
      <w:pPr>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（一）一般资格条件</w:t>
      </w:r>
    </w:p>
    <w:p w14:paraId="74672A2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（1）具有独立承担民事责任的能力；</w:t>
      </w:r>
    </w:p>
    <w:p w14:paraId="34C2E714">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（2）具有良好的商业信誉和健全的财务会计制度；</w:t>
      </w:r>
    </w:p>
    <w:p w14:paraId="75035FC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（3）具有履行合同所必须的设备和专业技术能力；</w:t>
      </w:r>
    </w:p>
    <w:p w14:paraId="4CEA790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（4）有依法缴纳税收和社会保障资金的良好记录；</w:t>
      </w:r>
    </w:p>
    <w:p w14:paraId="56866107">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（5）参加此采购活动前三年内，在经营活动中没有重大违法记录（由投标人作出声明）；</w:t>
      </w:r>
    </w:p>
    <w:p w14:paraId="75FA7ABE">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（6）符合法律、法规规定的其他条件。</w:t>
      </w:r>
    </w:p>
    <w:p w14:paraId="046F7E3D">
      <w:pPr>
        <w:spacing w:line="240" w:lineRule="auto"/>
        <w:ind w:firstLine="482"/>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bookmarkStart w:id="35" w:name="OLE_LINK14"/>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2377B075">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5.所投产品为进口产品，投标人须提供产品制造厂家或制造商中国大陆境内代表机构出具的授权函（提供授权函原件或复印件）即经销资格证明材料等。</w:t>
      </w:r>
    </w:p>
    <w:p w14:paraId="4492A7FD">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.所投产品属于妆字号产品：须提供生产企业的化妆品生产许可证、营业执照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营业执照。国产普通化妆品提供省级药监部门备案证明，进口普通化妆品提供国家药监局备案证明，特殊化妆品提供国家药监局注册证明。</w:t>
      </w:r>
    </w:p>
    <w:p w14:paraId="00BBC457">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7.投标人必须是重庆药交所注册会员，并提供《法人单位数字证书申请表》《重庆药品交易所入市协议》作为佐证材料。所投产品属于3C认证范围的必须提供3C认证证书。</w:t>
      </w:r>
    </w:p>
    <w:p w14:paraId="67E79579">
      <w:pPr>
        <w:numPr>
          <w:ilvl w:val="0"/>
          <w:numId w:val="0"/>
        </w:num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说明：</w:t>
      </w:r>
    </w:p>
    <w:p w14:paraId="5E649548">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kern w:val="2"/>
          <w:sz w:val="24"/>
          <w:szCs w:val="24"/>
          <w:lang w:val="en-US" w:eastAsia="zh-CN" w:bidi="ar-SA"/>
        </w:rPr>
        <w:t>1.</w:t>
      </w:r>
      <w:r>
        <w:rPr>
          <w:rFonts w:hint="eastAsia" w:ascii="方正仿宋_GBK" w:hAnsi="方正仿宋_GBK" w:eastAsia="方正仿宋_GBK" w:cs="方正仿宋_GBK"/>
          <w:b w:val="0"/>
          <w:bCs w:val="0"/>
          <w:color w:val="auto"/>
          <w:sz w:val="24"/>
          <w:szCs w:val="24"/>
          <w:lang w:val="en-US" w:eastAsia="zh-CN"/>
        </w:rPr>
        <w:t>上述证明材料须在响应文件中复印件加盖</w:t>
      </w:r>
      <w:r>
        <w:rPr>
          <w:rFonts w:hint="eastAsia" w:ascii="方正仿宋_GBK" w:hAnsi="方正仿宋_GBK" w:eastAsia="方正仿宋_GBK" w:cs="方正仿宋_GBK"/>
          <w:b w:val="0"/>
          <w:bCs w:val="0"/>
          <w:strike w:val="0"/>
          <w:dstrike w:val="0"/>
          <w:color w:val="auto"/>
          <w:sz w:val="24"/>
          <w:szCs w:val="24"/>
          <w:lang w:val="en-US" w:eastAsia="zh-CN"/>
        </w:rPr>
        <w:t>单位鲜</w:t>
      </w:r>
      <w:r>
        <w:rPr>
          <w:rFonts w:hint="eastAsia" w:ascii="方正仿宋_GBK" w:hAnsi="方正仿宋_GBK" w:eastAsia="方正仿宋_GBK" w:cs="方正仿宋_GBK"/>
          <w:b w:val="0"/>
          <w:bCs w:val="0"/>
          <w:color w:val="auto"/>
          <w:sz w:val="24"/>
          <w:szCs w:val="24"/>
          <w:lang w:val="en-US" w:eastAsia="zh-CN"/>
        </w:rPr>
        <w:t>章。</w:t>
      </w:r>
    </w:p>
    <w:p w14:paraId="41CC22C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auto"/>
          <w:sz w:val="24"/>
          <w:szCs w:val="24"/>
          <w:lang w:val="en-US" w:eastAsia="zh-CN"/>
        </w:rPr>
        <w:t>标</w:t>
      </w:r>
      <w:r>
        <w:rPr>
          <w:rFonts w:hint="eastAsia" w:ascii="方正仿宋_GBK" w:hAnsi="方正仿宋_GBK" w:eastAsia="方正仿宋_GBK" w:cs="方正仿宋_GBK"/>
          <w:b w:val="0"/>
          <w:bCs w:val="0"/>
          <w:color w:val="auto"/>
          <w:sz w:val="24"/>
          <w:szCs w:val="24"/>
          <w:lang w:val="en-US" w:eastAsia="zh-CN"/>
        </w:rPr>
        <w:t>资格，并按相关法律法规处理，响应供应商承担因此造成的相关责任并赔偿相应损失。</w:t>
      </w:r>
    </w:p>
    <w:bookmarkEnd w:id="35"/>
    <w:p w14:paraId="77F03FA9">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36" w:name="_Toc32600"/>
      <w:bookmarkStart w:id="37" w:name="_Toc17416"/>
      <w:bookmarkStart w:id="38" w:name="_Toc1536"/>
      <w:bookmarkStart w:id="39" w:name="_Toc30172"/>
      <w:bookmarkStart w:id="40" w:name="_Toc32737"/>
      <w:bookmarkStart w:id="41" w:name="_Toc16359"/>
      <w:bookmarkStart w:id="42" w:name="_Toc6958"/>
      <w:bookmarkStart w:id="43" w:name="_Toc2373"/>
      <w:bookmarkStart w:id="44" w:name="_Toc24566"/>
      <w:bookmarkStart w:id="45" w:name="_Toc556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遴选公告时间</w:t>
      </w:r>
    </w:p>
    <w:p w14:paraId="638CFCCC">
      <w:pPr>
        <w:spacing w:line="240" w:lineRule="auto"/>
        <w:rPr>
          <w:rFonts w:hint="eastAsia" w:ascii="方正仿宋_GBK" w:hAnsi="方正仿宋_GBK" w:eastAsia="方正仿宋_GBK" w:cs="方正仿宋_GBK"/>
          <w:bCs/>
          <w:color w:val="000000" w:themeColor="text1"/>
          <w:szCs w:val="24"/>
          <w14:textFill>
            <w14:solidFill>
              <w14:schemeClr w14:val="tx1"/>
            </w14:solidFill>
          </w14:textFill>
        </w:rPr>
      </w:pPr>
      <w:bookmarkStart w:id="46" w:name="OLE_LINK8"/>
      <w:r>
        <w:rPr>
          <w:rFonts w:hint="eastAsia" w:ascii="方正仿宋_GBK" w:hAnsi="方正仿宋_GBK" w:eastAsia="方正仿宋_GBK" w:cs="方正仿宋_GBK"/>
          <w:b/>
          <w:bCs/>
          <w:strike w:val="0"/>
          <w:dstrike w:val="0"/>
          <w:color w:val="000000" w:themeColor="text1"/>
          <w:szCs w:val="24"/>
          <w:highlight w:val="none"/>
          <w:u w:val="none"/>
          <w:lang w:val="en-US" w:eastAsia="zh-CN"/>
          <w14:textFill>
            <w14:solidFill>
              <w14:schemeClr w14:val="tx1"/>
            </w14:solidFill>
          </w14:textFill>
        </w:rPr>
        <w:t xml:space="preserve"> </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12</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bookmarkEnd w:id="46"/>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至202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r>
        <w:rPr>
          <w:rFonts w:hint="eastAsia" w:ascii="方正仿宋_GBK" w:hAnsi="方正仿宋_GBK" w:eastAsia="方正仿宋_GBK" w:cs="方正仿宋_GBK"/>
          <w:color w:val="000000" w:themeColor="text1"/>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凡愿意参加遴选的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，请自行在</w:t>
      </w:r>
      <w:bookmarkStart w:id="47" w:name="OLE_LINK33"/>
      <w:r>
        <w:rPr>
          <w:rFonts w:hint="eastAsia" w:ascii="方正仿宋_GBK" w:hAnsi="方正仿宋_GBK" w:eastAsia="方正仿宋_GBK" w:cs="方正仿宋_GBK"/>
          <w:color w:val="000000" w:themeColor="text1"/>
          <w:szCs w:val="24"/>
          <w14:textFill>
            <w14:solidFill>
              <w14:schemeClr w14:val="tx1"/>
            </w14:solidFill>
          </w14:textFill>
        </w:rPr>
        <w:t>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w:t>
      </w:r>
      <w:bookmarkEnd w:id="47"/>
      <w:r>
        <w:rPr>
          <w:rFonts w:hint="eastAsia" w:ascii="方正仿宋_GBK" w:hAnsi="方正仿宋_GBK" w:eastAsia="方正仿宋_GBK" w:cs="方正仿宋_GBK"/>
          <w:color w:val="000000" w:themeColor="text1"/>
          <w:szCs w:val="24"/>
          <w14:textFill>
            <w14:solidFill>
              <w14:schemeClr w14:val="tx1"/>
            </w14:solidFill>
          </w14:textFill>
        </w:rPr>
        <w:t>下载遴选公告，遴选公告及补遗等开标前公布的所有项目资料，无论投标人下载与否，均视为已知晓所有内容。</w:t>
      </w:r>
    </w:p>
    <w:p w14:paraId="52633139">
      <w:pPr>
        <w:pStyle w:val="5"/>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五、</w:t>
      </w:r>
      <w:bookmarkStart w:id="48" w:name="OLE_LINK1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响应文件递交截止时间</w:t>
      </w:r>
      <w:bookmarkEnd w:id="4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及地点</w:t>
      </w:r>
    </w:p>
    <w:p w14:paraId="564BBF0B">
      <w:pPr>
        <w:spacing w:line="240" w:lineRule="auto"/>
        <w:ind w:firstLine="480"/>
        <w:rPr>
          <w:rFonts w:hint="eastAsia" w:ascii="方正仿宋_GBK" w:hAnsi="方正仿宋_GBK" w:eastAsia="方正仿宋_GBK" w:cs="方正仿宋_GBK"/>
          <w:b/>
          <w:bCs/>
          <w:color w:val="000000" w:themeColor="text1"/>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递交截止时间：</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16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日17时</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0分前</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须密封盖章）</w:t>
      </w:r>
    </w:p>
    <w:p w14:paraId="0466BCAF">
      <w:pPr>
        <w:spacing w:line="240" w:lineRule="auto"/>
        <w:ind w:firstLine="480"/>
        <w:rPr>
          <w:rFonts w:hint="default" w:ascii="方正仿宋_GBK" w:hAnsi="方正仿宋_GBK" w:eastAsia="方正仿宋_GBK" w:cs="方正仿宋_GBK"/>
          <w:b/>
          <w:bCs/>
          <w:color w:val="000000" w:themeColor="text1"/>
          <w:kern w:val="0"/>
          <w:szCs w:val="24"/>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递交地点：</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重庆医科大学附属</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康复</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医院</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大公馆</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院区</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bookmarkStart w:id="49" w:name="OLE_LINK12"/>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重庆市</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谢家湾街道文化七村50号</w:t>
      </w:r>
      <w:bookmarkEnd w:id="49"/>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5栋3楼（招采办）报名后响应文件递交审计科。</w:t>
      </w:r>
    </w:p>
    <w:p w14:paraId="0B15EA16">
      <w:pPr>
        <w:spacing w:line="240" w:lineRule="auto"/>
        <w:ind w:firstLine="480"/>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pPr>
      <w:r>
        <w:rPr>
          <w:rFonts w:hint="eastAsia" w:ascii="方正仿宋_GBK" w:hAnsi="方正仿宋_GBK" w:eastAsia="方正仿宋_GBK" w:cs="方正仿宋_GBK"/>
          <w:b/>
          <w:bCs w:val="0"/>
          <w:color w:val="000000" w:themeColor="text1"/>
          <w:szCs w:val="24"/>
          <w:highlight w:val="none"/>
          <w:lang w:eastAsia="zh-CN"/>
          <w14:textFill>
            <w14:solidFill>
              <w14:schemeClr w14:val="tx1"/>
            </w14:solidFill>
          </w14:textFill>
        </w:rPr>
        <w:t>说明：</w:t>
      </w:r>
      <w:r>
        <w:rPr>
          <w:rFonts w:hint="eastAsia" w:ascii="方正仿宋_GBK" w:hAnsi="方正仿宋_GBK" w:eastAsia="方正仿宋_GBK" w:cs="方正仿宋_GBK"/>
          <w:bCs/>
          <w:strike w:val="0"/>
          <w:dstrike w:val="0"/>
          <w:color w:val="000000" w:themeColor="text1"/>
          <w:szCs w:val="24"/>
          <w:highlight w:val="none"/>
          <w:lang w:val="en-US" w:eastAsia="zh-CN"/>
          <w14:textFill>
            <w14:solidFill>
              <w14:schemeClr w14:val="tx1"/>
            </w14:solidFill>
          </w14:textFill>
        </w:rPr>
        <w:t>1.</w:t>
      </w:r>
      <w:r>
        <w:rPr>
          <w:rFonts w:hint="eastAsia" w:ascii="方正仿宋_GBK" w:hAnsi="方正仿宋_GBK" w:eastAsia="方正仿宋_GBK" w:cs="方正仿宋_GBK"/>
          <w:bCs/>
          <w:color w:val="000000" w:themeColor="text1"/>
          <w:szCs w:val="24"/>
          <w:highlight w:val="none"/>
          <w14:textFill>
            <w14:solidFill>
              <w14:schemeClr w14:val="tx1"/>
            </w14:solidFill>
          </w14:textFill>
        </w:rPr>
        <w:t>每个投标人提交</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三份</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（纸质版正本一份、副本三份、电子版一份，</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电子版采用U盘为文件载体，</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U盘表面务必请粘贴标签注明公司简称</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4"/>
          <w:highlight w:val="none"/>
          <w14:textFill>
            <w14:solidFill>
              <w14:schemeClr w14:val="tx1"/>
            </w14:solidFill>
          </w14:textFill>
        </w:rPr>
        <w:t>存入</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EXECL格式</w:t>
      </w:r>
      <w:r>
        <w:rPr>
          <w:rFonts w:hint="eastAsia" w:ascii="方正仿宋_GBK" w:hAnsi="方正仿宋_GBK" w:eastAsia="方正仿宋_GBK" w:cs="方正仿宋_GBK"/>
          <w:color w:val="000000" w:themeColor="text1"/>
          <w:szCs w:val="24"/>
          <w:highlight w:val="none"/>
          <w14:textFill>
            <w14:solidFill>
              <w14:schemeClr w14:val="tx1"/>
            </w14:solidFill>
          </w14:textFill>
        </w:rPr>
        <w:t>的“</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附件</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一</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：重庆医科大学附属康复医院医用耗材遴选报</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价</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及资质文件目录</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”，电子版与纸质版不一致时以纸质版为准），均应装袋密封，电子版、纸质版本可合装一袋，也可分装</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p>
    <w:p w14:paraId="0B906BF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六</w:t>
      </w:r>
      <w:r>
        <w:rPr>
          <w:rFonts w:hint="eastAsia" w:ascii="方正仿宋_GBK" w:hAnsi="方正仿宋_GBK" w:eastAsia="方正仿宋_GBK" w:cs="方正仿宋_GBK"/>
          <w:b/>
          <w:bCs/>
          <w:color w:val="000000" w:themeColor="text1"/>
          <w:sz w:val="28"/>
          <w:szCs w:val="28"/>
          <w14:textFill>
            <w14:solidFill>
              <w14:schemeClr w14:val="tx1"/>
            </w14:solidFill>
          </w14:textFill>
        </w:rPr>
        <w:t>、</w:t>
      </w:r>
      <w:bookmarkEnd w:id="36"/>
      <w:r>
        <w:rPr>
          <w:rFonts w:hint="eastAsia" w:ascii="方正仿宋_GBK" w:hAnsi="方正仿宋_GBK" w:eastAsia="方正仿宋_GBK" w:cs="方正仿宋_GBK"/>
          <w:b/>
          <w:bCs/>
          <w:color w:val="000000" w:themeColor="text1"/>
          <w:sz w:val="28"/>
          <w:szCs w:val="28"/>
          <w14:textFill>
            <w14:solidFill>
              <w14:schemeClr w14:val="tx1"/>
            </w14:solidFill>
          </w14:textFill>
        </w:rPr>
        <w:t>议价</w:t>
      </w:r>
      <w:bookmarkEnd w:id="37"/>
      <w:bookmarkEnd w:id="38"/>
      <w:bookmarkEnd w:id="39"/>
      <w:bookmarkEnd w:id="40"/>
      <w:bookmarkEnd w:id="41"/>
      <w:bookmarkEnd w:id="42"/>
      <w:bookmarkEnd w:id="43"/>
      <w:bookmarkEnd w:id="44"/>
    </w:p>
    <w:p w14:paraId="432F56E0">
      <w:pPr>
        <w:spacing w:line="240" w:lineRule="auto"/>
        <w:ind w:firstLine="480"/>
        <w:jc w:val="left"/>
        <w:rPr>
          <w:rFonts w:hint="eastAsia" w:ascii="方正仿宋_GBK" w:hAnsi="方正仿宋_GBK" w:eastAsia="方正仿宋_GBK" w:cs="方正仿宋_GBK"/>
          <w:b/>
          <w:bCs/>
          <w:color w:val="000000" w:themeColor="text1"/>
          <w:szCs w:val="24"/>
          <w:u w:val="none"/>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采购人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在初步遴选</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及</w:t>
      </w:r>
      <w:r>
        <w:rPr>
          <w:rFonts w:hint="eastAsia" w:ascii="方正仿宋_GBK" w:hAnsi="方正仿宋_GBK" w:eastAsia="方正仿宋_GBK" w:cs="方正仿宋_GBK"/>
          <w:b/>
          <w:bCs/>
          <w:color w:val="000000" w:themeColor="text1"/>
          <w:kern w:val="0"/>
          <w:szCs w:val="24"/>
          <w:u w:val="none"/>
          <w:lang w:val="en-US" w:eastAsia="zh-CN"/>
          <w14:textFill>
            <w14:solidFill>
              <w14:schemeClr w14:val="tx1"/>
            </w14:solidFill>
          </w14:textFill>
        </w:rPr>
        <w:t>资格审查通过后，</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以电子邮件方式、电话方式通知合格</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的投标人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，请投标</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在收到通知后，在指定时间和地点参与议价。</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本项目涉及的耗材，如有样品，</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请各投标人提前做好样品准备，议价时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请带齐相关样品。</w:t>
      </w:r>
    </w:p>
    <w:bookmarkEnd w:id="45"/>
    <w:p w14:paraId="606AA8D8">
      <w:pPr>
        <w:spacing w:line="240" w:lineRule="auto"/>
        <w:ind w:firstLine="48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七、其它</w:t>
      </w:r>
    </w:p>
    <w:p w14:paraId="565EE0C4">
      <w:pPr>
        <w:spacing w:line="240" w:lineRule="auto"/>
        <w:ind w:firstLine="480"/>
        <w:jc w:val="left"/>
        <w:rPr>
          <w:rFonts w:hint="eastAsia" w:ascii="方正仿宋_GBK" w:hAnsi="方正仿宋_GBK" w:eastAsia="方正仿宋_GBK" w:cs="方正仿宋_GBK"/>
          <w:b w:val="0"/>
          <w:bCs w:val="0"/>
          <w:color w:val="000000" w:themeColor="text1"/>
          <w:kern w:val="0"/>
          <w:szCs w:val="24"/>
          <w14:textFill>
            <w14:solidFill>
              <w14:schemeClr w14:val="tx1"/>
            </w14:solidFill>
          </w14:textFill>
        </w:rPr>
      </w:pPr>
      <w:r>
        <w:rPr>
          <w:rFonts w:hint="eastAsia" w:ascii="方正仿宋_GBK" w:hAnsi="方正仿宋_GBK" w:eastAsia="方正仿宋_GBK" w:cs="方正仿宋_GBK"/>
          <w:b w:val="0"/>
          <w:bCs w:val="0"/>
          <w:color w:val="000000" w:themeColor="text1"/>
          <w:kern w:val="0"/>
          <w:szCs w:val="24"/>
          <w14:textFill>
            <w14:solidFill>
              <w14:schemeClr w14:val="tx1"/>
            </w14:solidFill>
          </w14:textFill>
        </w:rPr>
        <w:t>1.本项目无需购买遴选公告文件。</w:t>
      </w:r>
    </w:p>
    <w:p w14:paraId="0EF076F8">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2.本项目不接受联合体投标。</w:t>
      </w:r>
      <w:bookmarkStart w:id="206" w:name="_GoBack"/>
      <w:bookmarkEnd w:id="206"/>
    </w:p>
    <w:p w14:paraId="25EE290D">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3.所投产品不属于医疗器械须备注说明。</w:t>
      </w:r>
    </w:p>
    <w:p w14:paraId="49513E8A">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4.产品目录中的每条耗材的所有原始内容均不得修改、删除。</w:t>
      </w:r>
    </w:p>
    <w:p w14:paraId="7F7F76DE">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5.可按照耗材规格型号自行增加行，每个规格型号单独一行，不管价格是否相同，均不准多型号合并一行填写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24766486">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bookmarkStart w:id="50" w:name="_Toc9874"/>
      <w:r>
        <w:rPr>
          <w:rFonts w:hint="eastAsia" w:ascii="方正仿宋_GBK" w:hAnsi="方正仿宋_GBK" w:eastAsia="方正仿宋_GBK" w:cs="方正仿宋_GBK"/>
          <w:color w:val="000000" w:themeColor="text1"/>
          <w:kern w:val="0"/>
          <w:szCs w:val="24"/>
          <w14:textFill>
            <w14:solidFill>
              <w14:schemeClr w14:val="tx1"/>
            </w14:solidFill>
          </w14:textFill>
        </w:rPr>
        <w:t>6.不得增加列</w:t>
      </w:r>
      <w:bookmarkEnd w:id="50"/>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67FD9EF1">
      <w:pPr>
        <w:snapToGrid/>
        <w:spacing w:line="240" w:lineRule="auto"/>
        <w:ind w:firstLine="480" w:firstLineChars="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7.</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kern w:val="0"/>
          <w:szCs w:val="24"/>
          <w14:textFill>
            <w14:solidFill>
              <w14:schemeClr w14:val="tx1"/>
            </w14:solidFill>
          </w14:textFill>
        </w:rPr>
        <w:t>递交成功后，请确保联系畅通并关注邮箱动态，后续事宜将通过电子邮件进行通知及沟通。</w:t>
      </w:r>
      <w:bookmarkStart w:id="51" w:name="OLE_LINK76"/>
    </w:p>
    <w:bookmarkEnd w:id="51"/>
    <w:p w14:paraId="27C8859C">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联系方式</w:t>
      </w:r>
    </w:p>
    <w:p w14:paraId="2EC9CFE9">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bookmarkStart w:id="52" w:name="_Toc19515"/>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单位名称：重庆医科大学附属康复医院</w:t>
      </w:r>
      <w:bookmarkEnd w:id="52"/>
    </w:p>
    <w:p w14:paraId="531A0CB3">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地址：重庆市谢家湾街道文化七村50号  </w:t>
      </w:r>
    </w:p>
    <w:p w14:paraId="0213821C">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电话：023-61307208 </w:t>
      </w: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w:t>
      </w:r>
    </w:p>
    <w:p w14:paraId="5BD24F30">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联系人：李老师        </w:t>
      </w:r>
    </w:p>
    <w:p w14:paraId="612918DE">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第二篇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遴选项目技术（质量）要求</w:t>
      </w:r>
    </w:p>
    <w:p w14:paraId="2DD89030">
      <w:pPr>
        <w:spacing w:line="240" w:lineRule="auto"/>
        <w:ind w:firstLine="602" w:firstLineChars="200"/>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pPr>
      <w:bookmarkStart w:id="53" w:name="_Toc20979"/>
      <w:bookmarkStart w:id="54" w:name="_Toc22910"/>
      <w:bookmarkStart w:id="55" w:name="_Toc75793505"/>
      <w:bookmarkStart w:id="56" w:name="_Toc8370"/>
      <w:bookmarkStart w:id="57" w:name="_Toc106030381"/>
      <w:bookmarkStart w:id="58" w:name="_Toc7027"/>
      <w:bookmarkStart w:id="59" w:name="_Toc11703"/>
      <w:bookmarkStart w:id="60" w:name="_Toc4913"/>
      <w:bookmarkStart w:id="61" w:name="_Toc23656"/>
      <w:bookmarkStart w:id="62" w:name="_Toc4531"/>
      <w:bookmarkStart w:id="63" w:name="_Toc19238"/>
      <w:bookmarkStart w:id="64" w:name="_Toc9261"/>
      <w:bookmarkStart w:id="65" w:name="_Toc29985"/>
      <w:bookmarkStart w:id="66" w:name="_Toc4519"/>
      <w:bookmarkStart w:id="67" w:name="_Toc23504"/>
      <w:r>
        <w:rPr>
          <w:rFonts w:hint="eastAsia" w:ascii="方正仿宋_GBK" w:hAnsi="方正仿宋_GBK" w:eastAsia="方正仿宋_GBK" w:cs="方正仿宋_GBK"/>
          <w:b/>
          <w:bCs/>
          <w:color w:val="000000" w:themeColor="text1"/>
          <w:sz w:val="30"/>
          <w:szCs w:val="30"/>
          <w14:textFill>
            <w14:solidFill>
              <w14:schemeClr w14:val="tx1"/>
            </w14:solidFill>
          </w14:textFill>
        </w:rPr>
        <w:t>一、</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t>项目技术（质量）要求</w:t>
      </w:r>
    </w:p>
    <w:p w14:paraId="3EFC8E43">
      <w:pPr>
        <w:pStyle w:val="5"/>
        <w:ind w:left="0" w:leftChars="0" w:firstLine="0" w:firstLineChar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1：发光免疫类试剂（集采）</w:t>
      </w:r>
    </w:p>
    <w:tbl>
      <w:tblPr>
        <w:tblStyle w:val="12"/>
        <w:tblW w:w="10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2"/>
        <w:gridCol w:w="3873"/>
        <w:gridCol w:w="1821"/>
        <w:gridCol w:w="2036"/>
        <w:gridCol w:w="1816"/>
      </w:tblGrid>
      <w:tr w14:paraId="749D7D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32" w:type="dxa"/>
            <w:tcBorders>
              <w:bottom w:val="single" w:color="auto" w:sz="6" w:space="0"/>
              <w:right w:val="single" w:color="auto" w:sz="6" w:space="0"/>
              <w:tl2br w:val="nil"/>
              <w:tr2bl w:val="nil"/>
            </w:tcBorders>
            <w:shd w:val="clear" w:color="auto" w:fill="auto"/>
            <w:noWrap w:val="0"/>
            <w:vAlign w:val="center"/>
          </w:tcPr>
          <w:p w14:paraId="31E6E62A">
            <w:pPr>
              <w:spacing w:beforeLines="0" w:afterLines="0"/>
              <w:ind w:left="0" w:leftChars="0" w:firstLine="0" w:firstLineChar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序号</w:t>
            </w:r>
          </w:p>
        </w:tc>
        <w:tc>
          <w:tcPr>
            <w:tcW w:w="3873" w:type="dxa"/>
            <w:tcBorders>
              <w:left w:val="single" w:color="auto" w:sz="6" w:space="0"/>
              <w:bottom w:val="single" w:color="auto" w:sz="6" w:space="0"/>
              <w:right w:val="single" w:color="auto" w:sz="6" w:space="0"/>
              <w:tl2br w:val="nil"/>
              <w:tr2bl w:val="nil"/>
            </w:tcBorders>
            <w:shd w:val="clear" w:color="FFFFFF" w:fill="auto"/>
            <w:noWrap w:val="0"/>
            <w:vAlign w:val="center"/>
          </w:tcPr>
          <w:p w14:paraId="33601AE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color w:val="000000"/>
                <w:sz w:val="21"/>
                <w:szCs w:val="21"/>
              </w:rPr>
              <w:t>产品名称</w:t>
            </w:r>
          </w:p>
        </w:tc>
        <w:tc>
          <w:tcPr>
            <w:tcW w:w="1821" w:type="dxa"/>
            <w:tcBorders>
              <w:left w:val="single" w:color="auto" w:sz="6" w:space="0"/>
              <w:bottom w:val="single" w:color="auto" w:sz="6" w:space="0"/>
              <w:right w:val="single" w:color="auto" w:sz="6" w:space="0"/>
              <w:tl2br w:val="nil"/>
              <w:tr2bl w:val="nil"/>
            </w:tcBorders>
            <w:noWrap w:val="0"/>
            <w:vAlign w:val="center"/>
          </w:tcPr>
          <w:p w14:paraId="077D3E01">
            <w:pPr>
              <w:spacing w:beforeLines="0" w:afterLine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用途</w:t>
            </w:r>
          </w:p>
        </w:tc>
        <w:tc>
          <w:tcPr>
            <w:tcW w:w="2036" w:type="dxa"/>
            <w:tcBorders>
              <w:left w:val="single" w:color="auto" w:sz="6" w:space="0"/>
              <w:bottom w:val="single" w:color="auto" w:sz="6" w:space="0"/>
              <w:right w:val="single" w:color="auto" w:sz="6" w:space="0"/>
              <w:tl2br w:val="nil"/>
              <w:tr2bl w:val="nil"/>
            </w:tcBorders>
            <w:noWrap w:val="0"/>
            <w:vAlign w:val="center"/>
          </w:tcPr>
          <w:p w14:paraId="58979271">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参数要求</w:t>
            </w:r>
          </w:p>
        </w:tc>
        <w:tc>
          <w:tcPr>
            <w:tcW w:w="1816" w:type="dxa"/>
            <w:tcBorders>
              <w:left w:val="single" w:color="auto" w:sz="6" w:space="0"/>
              <w:bottom w:val="single" w:color="auto" w:sz="6" w:space="0"/>
              <w:tl2br w:val="nil"/>
              <w:tr2bl w:val="nil"/>
            </w:tcBorders>
            <w:noWrap w:val="0"/>
            <w:vAlign w:val="center"/>
          </w:tcPr>
          <w:p w14:paraId="4341305C">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备注</w:t>
            </w:r>
          </w:p>
        </w:tc>
      </w:tr>
      <w:tr w14:paraId="53382E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E92B99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E53918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癌胚抗原（CEA）测定试剂盒（化学发光免疫分析法）</w:t>
            </w:r>
          </w:p>
        </w:tc>
        <w:tc>
          <w:tcPr>
            <w:tcW w:w="1821" w:type="dxa"/>
            <w:vMerge w:val="restart"/>
            <w:tcBorders>
              <w:top w:val="single" w:color="auto" w:sz="6" w:space="0"/>
              <w:left w:val="single" w:color="auto" w:sz="6" w:space="0"/>
              <w:right w:val="single" w:color="auto" w:sz="6" w:space="0"/>
              <w:tl2br w:val="nil"/>
              <w:tr2bl w:val="nil"/>
            </w:tcBorders>
            <w:shd w:val="clear" w:color="auto" w:fill="auto"/>
            <w:noWrap w:val="0"/>
            <w:vAlign w:val="top"/>
          </w:tcPr>
          <w:p w14:paraId="065F0FE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30F16BA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6C50C2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0F7A934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ED35C3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EAFB3B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604345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3B7F406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467B5CE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7884655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p>
          <w:p w14:paraId="5965808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主要用于肿瘤标志物的检测</w:t>
            </w:r>
          </w:p>
        </w:tc>
        <w:tc>
          <w:tcPr>
            <w:tcW w:w="2036" w:type="dxa"/>
            <w:vMerge w:val="restart"/>
            <w:tcBorders>
              <w:top w:val="single" w:color="auto" w:sz="6" w:space="0"/>
              <w:left w:val="single" w:color="auto" w:sz="6" w:space="0"/>
              <w:right w:val="single" w:color="auto" w:sz="6" w:space="0"/>
              <w:tl2br w:val="nil"/>
              <w:tr2bl w:val="nil"/>
            </w:tcBorders>
            <w:shd w:val="clear" w:color="auto" w:fill="auto"/>
            <w:noWrap w:val="0"/>
            <w:vAlign w:val="top"/>
          </w:tcPr>
          <w:p w14:paraId="3BDF9A6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597FAC8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48E432F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617B57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1A3640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2BDD872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E1D3D6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BF2E80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87742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124F39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6353C40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7F0A531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14B572C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4336DEB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73DB5EF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37CAA74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0017ABA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103CB8D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709AE25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309A505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4F6A4CA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p w14:paraId="5069789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rPr>
              <w:t>适配深圳迈瑞全自动</w:t>
            </w:r>
            <w:r>
              <w:rPr>
                <w:rFonts w:hint="eastAsia" w:asciiTheme="minorEastAsia" w:hAnsiTheme="minorEastAsia" w:eastAsiaTheme="minorEastAsia" w:cstheme="minorEastAsia"/>
                <w:b/>
                <w:bCs/>
                <w:color w:val="000000"/>
                <w:sz w:val="21"/>
                <w:szCs w:val="21"/>
                <w:lang w:val="en-US" w:eastAsia="zh-CN"/>
              </w:rPr>
              <w:t>CL-1200i发光免疫分析仪</w:t>
            </w: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37F737C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78B492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D626AB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191BF1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甲胎蛋白（AFP）测定试剂盒（化学发光免疫分析法）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D9521D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3AD7DC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5D742A9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141144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2261B1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3E9EC1C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肿瘤相关抗原CA125测定试剂盒（化学发光免疫分析法）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1DD641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0FA69C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1BCF03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4422FA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ED08A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292C049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癌抗原CA15-3测定试剂盒（化学发光免疫分析法）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17868B0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47358C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5120DA5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7C589D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70E20F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5</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05F1F3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糖类抗原CA19-9测定试剂盒（化学发光免疫分析法）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33DE2BC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59FA460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3CFBFDC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971B3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A1B2F8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1676D9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游离前列腺特异性抗原（FPSA）测定试剂盒（化学发光免疫分析法）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23CF080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37038AB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353A13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5ECD7D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4BB1BC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7</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6159D89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总前列腺特异性抗原（t-PSA）测定试剂盒（化学发光免疫分析法）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3ECBD6F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9CE7E4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428AED2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7966A1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997617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8</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BDDCA4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癌抗原CA72-4测定试剂盒（化学发光免疫分析法）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A2685A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464456A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7C235B6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18DE24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28B4AB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9</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B7C42A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神经元特异性烯醇化酶测定试剂盒（化学发光免疫分析法）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10DC111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47073DC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16ABE25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13B38B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C43285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10</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05D220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细胞角蛋白19片段测定试剂盒（化学发光免疫分析法）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5F2FF7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FB5281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77FA630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0F1F3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9A21E7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11</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EB7248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胃泌素释放肽前体测定试剂盒（化学发光免疫分析法）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6686DB1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3855E53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126F58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593BA8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DAB2BD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12</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B77065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鳞状上皮细胞癌抗原测定试剂盒（化学发光免疫分析法）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2C887D9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3A79B29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4853E62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CB3F8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2B1D75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13</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6E0F03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人附睾蛋白4测定试剂盒（化学发光免疫分析法）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F59A94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6FD2433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7F149C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26B917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7B1F6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14</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7F17C9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糖类抗原242测定试剂盒（化学发光免疫分析法）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46BBA1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AF0B8A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1987EA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61F49C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8A4995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15</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0D81B58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糖类抗原50测定试剂盒（化学发光免疫分析法）</w:t>
            </w:r>
          </w:p>
        </w:tc>
        <w:tc>
          <w:tcPr>
            <w:tcW w:w="1821" w:type="dxa"/>
            <w:vMerge w:val="continue"/>
            <w:tcBorders>
              <w:left w:val="single" w:color="auto" w:sz="6" w:space="0"/>
              <w:bottom w:val="single" w:color="auto" w:sz="6" w:space="0"/>
              <w:right w:val="single" w:color="auto" w:sz="6" w:space="0"/>
              <w:tl2br w:val="nil"/>
              <w:tr2bl w:val="nil"/>
            </w:tcBorders>
            <w:shd w:val="clear" w:color="auto" w:fill="auto"/>
            <w:noWrap w:val="0"/>
            <w:vAlign w:val="top"/>
          </w:tcPr>
          <w:p w14:paraId="164A719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1EA9373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88E0B0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肿标(集采）</w:t>
            </w:r>
          </w:p>
        </w:tc>
      </w:tr>
      <w:tr w14:paraId="338F8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AF795E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16</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6DBDA8E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游离三碘甲状腺原氨酸（FT3）测定试剂盒（化学发光免疫分析法）</w:t>
            </w:r>
          </w:p>
        </w:tc>
        <w:tc>
          <w:tcPr>
            <w:tcW w:w="1821" w:type="dxa"/>
            <w:vMerge w:val="restart"/>
            <w:tcBorders>
              <w:top w:val="single" w:color="auto" w:sz="6" w:space="0"/>
              <w:left w:val="single" w:color="auto" w:sz="6" w:space="0"/>
              <w:right w:val="single" w:color="auto" w:sz="6" w:space="0"/>
              <w:tl2br w:val="nil"/>
              <w:tr2bl w:val="nil"/>
            </w:tcBorders>
            <w:shd w:val="clear" w:color="auto" w:fill="auto"/>
            <w:noWrap w:val="0"/>
            <w:vAlign w:val="center"/>
          </w:tcPr>
          <w:p w14:paraId="189F755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主要用于甲状腺功能的检测</w:t>
            </w: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DD0D1A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B20E31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2AD3EC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B39702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17</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BBE0C7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游离甲状腺素（FT4）测定试剂盒（化学发光免疫分析法）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4B944A9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12F1F4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7B20FB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5BCDB3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44DAFD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18</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1455F87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总三碘甲状腺原氨酸（T3）测定试剂盒（化学发光免疫分析法）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DD326B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DA2732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125F04D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5EEA0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8A7FA2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19</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503D5C1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总甲状腺素（T4）测定试剂盒（化学发光免疫分析法）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304689F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6026EE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1E7820B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27CDA9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1819B4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20</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29F8804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促甲状腺激素（TSH）测定试剂盒（化学发光免疫分析法）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561E6FD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7E2E35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C4D403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7F36C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91F8F4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21</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44D4FD9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shd w:val="clear" w:color="auto" w:fill="auto"/>
              </w:rPr>
            </w:pPr>
            <w:r>
              <w:rPr>
                <w:rFonts w:hint="eastAsia" w:asciiTheme="minorEastAsia" w:hAnsiTheme="minorEastAsia" w:eastAsiaTheme="minorEastAsia" w:cstheme="minorEastAsia"/>
                <w:color w:val="000000"/>
                <w:sz w:val="21"/>
                <w:szCs w:val="21"/>
                <w:shd w:val="clear" w:color="auto" w:fill="auto"/>
              </w:rPr>
              <w:t>甲状腺球蛋白（Tg）测定试剂盒（化学发光免疫分析法）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6391545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28764C8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04C434D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16CF12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AF80E8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22</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7BF86A9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甲状腺球蛋白抗体（Anti-Tg）测定试剂盒（化学发光免疫分析法）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149D53F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EC2A7F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34F405D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6F9BE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CD436C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23</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FFFFFF" w:fill="auto"/>
            <w:noWrap w:val="0"/>
            <w:vAlign w:val="top"/>
          </w:tcPr>
          <w:p w14:paraId="34C5D26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抗甲状腺过氧化物酶抗体（Anti-TPO）测定试剂盒（化学发光免疫分析法）</w:t>
            </w:r>
          </w:p>
        </w:tc>
        <w:tc>
          <w:tcPr>
            <w:tcW w:w="1821" w:type="dxa"/>
            <w:vMerge w:val="continue"/>
            <w:tcBorders>
              <w:left w:val="single" w:color="auto" w:sz="6" w:space="0"/>
              <w:right w:val="single" w:color="auto" w:sz="6" w:space="0"/>
              <w:tl2br w:val="nil"/>
              <w:tr2bl w:val="nil"/>
            </w:tcBorders>
            <w:shd w:val="clear" w:color="auto" w:fill="auto"/>
            <w:noWrap w:val="0"/>
            <w:vAlign w:val="top"/>
          </w:tcPr>
          <w:p w14:paraId="704A62E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0636380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FB89FF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r w14:paraId="682B5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F18864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24</w:t>
            </w:r>
          </w:p>
        </w:tc>
        <w:tc>
          <w:tcPr>
            <w:tcW w:w="3873"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top"/>
          </w:tcPr>
          <w:p w14:paraId="77BEEB2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促甲状腺素受体抗体（TRAb）测定试剂盒（化学发光免疫分析法）</w:t>
            </w:r>
          </w:p>
        </w:tc>
        <w:tc>
          <w:tcPr>
            <w:tcW w:w="1821" w:type="dxa"/>
            <w:vMerge w:val="continue"/>
            <w:tcBorders>
              <w:left w:val="single" w:color="auto" w:sz="6" w:space="0"/>
              <w:bottom w:val="single" w:color="auto" w:sz="6" w:space="0"/>
              <w:right w:val="single" w:color="auto" w:sz="6" w:space="0"/>
              <w:tl2br w:val="nil"/>
              <w:tr2bl w:val="nil"/>
            </w:tcBorders>
            <w:shd w:val="clear" w:color="auto" w:fill="auto"/>
            <w:noWrap w:val="0"/>
            <w:vAlign w:val="top"/>
          </w:tcPr>
          <w:p w14:paraId="62BCE16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6" w:space="0"/>
              <w:right w:val="single" w:color="auto" w:sz="6" w:space="0"/>
              <w:tl2br w:val="nil"/>
              <w:tr2bl w:val="nil"/>
            </w:tcBorders>
            <w:shd w:val="clear" w:color="auto" w:fill="auto"/>
            <w:noWrap w:val="0"/>
            <w:vAlign w:val="top"/>
          </w:tcPr>
          <w:p w14:paraId="707B421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shd w:val="solid" w:color="99CC00" w:fill="auto"/>
            <w:noWrap w:val="0"/>
            <w:vAlign w:val="top"/>
          </w:tcPr>
          <w:p w14:paraId="6218175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甲功（集采）</w:t>
            </w:r>
          </w:p>
        </w:tc>
      </w:tr>
    </w:tbl>
    <w:p w14:paraId="6E1BB019">
      <w:pPr>
        <w:pStyle w:val="5"/>
        <w:ind w:left="0" w:leftChars="0" w:firstLine="0" w:firstLineChars="0"/>
        <w:rPr>
          <w:rFonts w:hint="eastAsia" w:asciiTheme="minorEastAsia" w:hAnsiTheme="minorEastAsia" w:eastAsiaTheme="minorEastAsia" w:cstheme="minorEastAsia"/>
          <w:sz w:val="21"/>
          <w:szCs w:val="21"/>
          <w:lang w:val="en-US" w:eastAsia="zh-CN"/>
        </w:rPr>
      </w:pPr>
    </w:p>
    <w:p w14:paraId="524D3E2E">
      <w:pPr>
        <w:rPr>
          <w:rFonts w:hint="eastAsia" w:asciiTheme="minorEastAsia" w:hAnsiTheme="minorEastAsia" w:eastAsiaTheme="minorEastAsia" w:cstheme="minorEastAsia"/>
          <w:sz w:val="21"/>
          <w:szCs w:val="21"/>
          <w:lang w:val="en-US" w:eastAsia="zh-CN"/>
        </w:rPr>
      </w:pPr>
    </w:p>
    <w:p w14:paraId="49660E3B">
      <w:pPr>
        <w:rPr>
          <w:rFonts w:hint="eastAsia" w:asciiTheme="minorEastAsia" w:hAnsiTheme="minorEastAsia" w:eastAsiaTheme="minorEastAsia" w:cstheme="minorEastAsia"/>
          <w:sz w:val="21"/>
          <w:szCs w:val="21"/>
          <w:lang w:val="en-US" w:eastAsia="zh-CN"/>
        </w:rPr>
      </w:pPr>
    </w:p>
    <w:p w14:paraId="35D3D486">
      <w:pPr>
        <w:rPr>
          <w:rFonts w:hint="eastAsia" w:asciiTheme="minorEastAsia" w:hAnsiTheme="minorEastAsia" w:eastAsiaTheme="minorEastAsia" w:cstheme="minorEastAsia"/>
          <w:sz w:val="21"/>
          <w:szCs w:val="21"/>
          <w:lang w:val="en-US" w:eastAsia="zh-CN"/>
        </w:rPr>
      </w:pPr>
    </w:p>
    <w:p w14:paraId="53CA8783">
      <w:pPr>
        <w:pStyle w:val="5"/>
        <w:ind w:left="0" w:leftChars="0" w:firstLine="0" w:firstLineChars="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2：发光免疫类试剂（非集采）</w:t>
      </w:r>
    </w:p>
    <w:tbl>
      <w:tblPr>
        <w:tblStyle w:val="12"/>
        <w:tblW w:w="10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2"/>
        <w:gridCol w:w="3873"/>
        <w:gridCol w:w="1821"/>
        <w:gridCol w:w="2036"/>
        <w:gridCol w:w="1816"/>
      </w:tblGrid>
      <w:tr w14:paraId="201E79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32" w:type="dxa"/>
            <w:tcBorders>
              <w:bottom w:val="single" w:color="auto" w:sz="6" w:space="0"/>
              <w:right w:val="single" w:color="auto" w:sz="6" w:space="0"/>
              <w:tl2br w:val="nil"/>
              <w:tr2bl w:val="nil"/>
            </w:tcBorders>
            <w:shd w:val="clear" w:color="auto" w:fill="auto"/>
            <w:noWrap w:val="0"/>
            <w:vAlign w:val="center"/>
          </w:tcPr>
          <w:p w14:paraId="2A427154">
            <w:pPr>
              <w:spacing w:beforeLines="0" w:afterLines="0"/>
              <w:ind w:left="0" w:leftChars="0" w:firstLine="0" w:firstLineChar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序号</w:t>
            </w:r>
          </w:p>
        </w:tc>
        <w:tc>
          <w:tcPr>
            <w:tcW w:w="3873" w:type="dxa"/>
            <w:tcBorders>
              <w:left w:val="single" w:color="auto" w:sz="6" w:space="0"/>
              <w:bottom w:val="single" w:color="auto" w:sz="6" w:space="0"/>
              <w:right w:val="single" w:color="auto" w:sz="4" w:space="0"/>
              <w:tl2br w:val="nil"/>
              <w:tr2bl w:val="nil"/>
            </w:tcBorders>
            <w:shd w:val="clear" w:color="FFFFFF" w:fill="auto"/>
            <w:noWrap w:val="0"/>
            <w:vAlign w:val="center"/>
          </w:tcPr>
          <w:p w14:paraId="65E8201B">
            <w:pPr>
              <w:spacing w:beforeLines="0" w:afterLines="0"/>
              <w:ind w:left="0" w:leftChars="0" w:firstLine="0" w:firstLineChar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产品名称</w:t>
            </w:r>
          </w:p>
        </w:tc>
        <w:tc>
          <w:tcPr>
            <w:tcW w:w="1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6232D0">
            <w:pPr>
              <w:spacing w:beforeLines="0" w:afterLines="0"/>
              <w:jc w:val="center"/>
              <w:rPr>
                <w:rFonts w:hint="eastAsia" w:asciiTheme="minorEastAsia" w:hAnsiTheme="minorEastAsia" w:eastAsiaTheme="minorEastAsia" w:cstheme="minorEastAsia"/>
                <w:b/>
                <w:color w:val="000000"/>
                <w:sz w:val="21"/>
                <w:szCs w:val="21"/>
              </w:rPr>
            </w:pPr>
            <w:r>
              <w:rPr>
                <w:rFonts w:hint="eastAsia" w:asciiTheme="minorEastAsia" w:hAnsiTheme="minorEastAsia" w:eastAsiaTheme="minorEastAsia" w:cstheme="minorEastAsia"/>
                <w:b/>
                <w:color w:val="000000"/>
                <w:sz w:val="21"/>
                <w:szCs w:val="21"/>
              </w:rPr>
              <w:t>用途</w:t>
            </w:r>
          </w:p>
        </w:tc>
        <w:tc>
          <w:tcPr>
            <w:tcW w:w="2036" w:type="dxa"/>
            <w:tcBorders>
              <w:left w:val="single" w:color="auto" w:sz="4" w:space="0"/>
              <w:bottom w:val="single" w:color="auto" w:sz="6" w:space="0"/>
              <w:right w:val="single" w:color="auto" w:sz="6" w:space="0"/>
              <w:tl2br w:val="nil"/>
              <w:tr2bl w:val="nil"/>
            </w:tcBorders>
            <w:noWrap w:val="0"/>
            <w:vAlign w:val="center"/>
          </w:tcPr>
          <w:p w14:paraId="4D51DD04">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参数要求</w:t>
            </w:r>
          </w:p>
        </w:tc>
        <w:tc>
          <w:tcPr>
            <w:tcW w:w="1816" w:type="dxa"/>
            <w:tcBorders>
              <w:left w:val="single" w:color="auto" w:sz="6" w:space="0"/>
              <w:bottom w:val="single" w:color="auto" w:sz="6" w:space="0"/>
              <w:tl2br w:val="nil"/>
              <w:tr2bl w:val="nil"/>
            </w:tcBorders>
            <w:noWrap w:val="0"/>
            <w:vAlign w:val="center"/>
          </w:tcPr>
          <w:p w14:paraId="00151B3B">
            <w:pPr>
              <w:spacing w:beforeLines="0" w:afterLines="0"/>
              <w:jc w:val="center"/>
              <w:rPr>
                <w:rFonts w:hint="eastAsia" w:asciiTheme="minorEastAsia" w:hAnsiTheme="minorEastAsia" w:eastAsiaTheme="minorEastAsia" w:cstheme="minorEastAsia"/>
                <w:b/>
                <w:color w:val="000000"/>
                <w:sz w:val="21"/>
                <w:szCs w:val="21"/>
                <w:lang w:val="en-US" w:eastAsia="zh-CN"/>
              </w:rPr>
            </w:pPr>
            <w:r>
              <w:rPr>
                <w:rFonts w:hint="eastAsia" w:asciiTheme="minorEastAsia" w:hAnsiTheme="minorEastAsia" w:eastAsiaTheme="minorEastAsia" w:cstheme="minorEastAsia"/>
                <w:b/>
                <w:color w:val="000000"/>
                <w:sz w:val="21"/>
                <w:szCs w:val="21"/>
                <w:lang w:val="en-US" w:eastAsia="zh-CN"/>
              </w:rPr>
              <w:t>备注</w:t>
            </w:r>
          </w:p>
        </w:tc>
      </w:tr>
      <w:tr w14:paraId="25464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292082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lang w:val="en-US" w:eastAsia="zh-CN"/>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07B872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铁蛋白（FERR）测定试剂盒（化学发光免疫分析法）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A283E17">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主要用于肿瘤标志物的检测</w:t>
            </w:r>
          </w:p>
        </w:tc>
        <w:tc>
          <w:tcPr>
            <w:tcW w:w="2036" w:type="dxa"/>
            <w:vMerge w:val="restart"/>
            <w:tcBorders>
              <w:left w:val="single" w:color="auto" w:sz="4" w:space="0"/>
              <w:right w:val="single" w:color="auto" w:sz="6" w:space="0"/>
              <w:tl2br w:val="nil"/>
              <w:tr2bl w:val="nil"/>
            </w:tcBorders>
            <w:noWrap w:val="0"/>
            <w:vAlign w:val="center"/>
          </w:tcPr>
          <w:p w14:paraId="25B69F49">
            <w:pPr>
              <w:spacing w:beforeLines="0" w:afterLines="0"/>
              <w:jc w:val="center"/>
              <w:rPr>
                <w:rFonts w:hint="eastAsia" w:asciiTheme="minorEastAsia" w:hAnsiTheme="minorEastAsia" w:eastAsiaTheme="minorEastAsia" w:cstheme="minorEastAsia"/>
                <w:b w:val="0"/>
                <w:bCs/>
                <w:color w:val="000000"/>
                <w:sz w:val="21"/>
                <w:szCs w:val="21"/>
              </w:rPr>
            </w:pPr>
          </w:p>
          <w:p w14:paraId="1C70FB9E">
            <w:pPr>
              <w:spacing w:beforeLines="0" w:afterLines="0"/>
              <w:jc w:val="center"/>
              <w:rPr>
                <w:rFonts w:hint="eastAsia" w:asciiTheme="minorEastAsia" w:hAnsiTheme="minorEastAsia" w:eastAsiaTheme="minorEastAsia" w:cstheme="minorEastAsia"/>
                <w:b w:val="0"/>
                <w:bCs/>
                <w:color w:val="000000"/>
                <w:sz w:val="21"/>
                <w:szCs w:val="21"/>
              </w:rPr>
            </w:pPr>
          </w:p>
          <w:p w14:paraId="6403C634">
            <w:pPr>
              <w:spacing w:beforeLines="0" w:afterLines="0"/>
              <w:jc w:val="center"/>
              <w:rPr>
                <w:rFonts w:hint="eastAsia" w:asciiTheme="minorEastAsia" w:hAnsiTheme="minorEastAsia" w:eastAsiaTheme="minorEastAsia" w:cstheme="minorEastAsia"/>
                <w:b w:val="0"/>
                <w:bCs/>
                <w:color w:val="000000"/>
                <w:sz w:val="21"/>
                <w:szCs w:val="21"/>
              </w:rPr>
            </w:pPr>
          </w:p>
          <w:p w14:paraId="1547746D">
            <w:pPr>
              <w:spacing w:beforeLines="0" w:afterLines="0"/>
              <w:jc w:val="center"/>
              <w:rPr>
                <w:rFonts w:hint="eastAsia" w:asciiTheme="minorEastAsia" w:hAnsiTheme="minorEastAsia" w:eastAsiaTheme="minorEastAsia" w:cstheme="minorEastAsia"/>
                <w:b w:val="0"/>
                <w:bCs/>
                <w:color w:val="000000"/>
                <w:sz w:val="21"/>
                <w:szCs w:val="21"/>
              </w:rPr>
            </w:pPr>
          </w:p>
          <w:p w14:paraId="0836A269">
            <w:pPr>
              <w:spacing w:beforeLines="0" w:afterLines="0"/>
              <w:jc w:val="center"/>
              <w:rPr>
                <w:rFonts w:hint="eastAsia" w:asciiTheme="minorEastAsia" w:hAnsiTheme="minorEastAsia" w:eastAsiaTheme="minorEastAsia" w:cstheme="minorEastAsia"/>
                <w:b w:val="0"/>
                <w:bCs/>
                <w:color w:val="000000"/>
                <w:sz w:val="21"/>
                <w:szCs w:val="21"/>
              </w:rPr>
            </w:pPr>
          </w:p>
          <w:p w14:paraId="6A93C136">
            <w:pPr>
              <w:spacing w:beforeLines="0" w:afterLines="0"/>
              <w:jc w:val="center"/>
              <w:rPr>
                <w:rFonts w:hint="eastAsia" w:asciiTheme="minorEastAsia" w:hAnsiTheme="minorEastAsia" w:eastAsiaTheme="minorEastAsia" w:cstheme="minorEastAsia"/>
                <w:b w:val="0"/>
                <w:bCs/>
                <w:color w:val="000000"/>
                <w:sz w:val="21"/>
                <w:szCs w:val="21"/>
              </w:rPr>
            </w:pPr>
          </w:p>
          <w:p w14:paraId="5FDAB8FD">
            <w:pPr>
              <w:spacing w:beforeLines="0" w:afterLines="0"/>
              <w:jc w:val="center"/>
              <w:rPr>
                <w:rFonts w:hint="eastAsia" w:asciiTheme="minorEastAsia" w:hAnsiTheme="minorEastAsia" w:eastAsiaTheme="minorEastAsia" w:cstheme="minorEastAsia"/>
                <w:b w:val="0"/>
                <w:bCs/>
                <w:color w:val="000000"/>
                <w:sz w:val="21"/>
                <w:szCs w:val="21"/>
              </w:rPr>
            </w:pPr>
          </w:p>
          <w:p w14:paraId="3D5225D9">
            <w:pPr>
              <w:spacing w:beforeLines="0" w:afterLines="0"/>
              <w:jc w:val="center"/>
              <w:rPr>
                <w:rFonts w:hint="eastAsia" w:asciiTheme="minorEastAsia" w:hAnsiTheme="minorEastAsia" w:eastAsiaTheme="minorEastAsia" w:cstheme="minorEastAsia"/>
                <w:b w:val="0"/>
                <w:bCs/>
                <w:color w:val="000000"/>
                <w:sz w:val="21"/>
                <w:szCs w:val="21"/>
              </w:rPr>
            </w:pPr>
          </w:p>
          <w:p w14:paraId="5B4CCBB9">
            <w:pPr>
              <w:spacing w:beforeLines="0" w:afterLines="0"/>
              <w:jc w:val="center"/>
              <w:rPr>
                <w:rFonts w:hint="eastAsia" w:asciiTheme="minorEastAsia" w:hAnsiTheme="minorEastAsia" w:eastAsiaTheme="minorEastAsia" w:cstheme="minorEastAsia"/>
                <w:b w:val="0"/>
                <w:bCs/>
                <w:color w:val="000000"/>
                <w:sz w:val="21"/>
                <w:szCs w:val="21"/>
              </w:rPr>
            </w:pPr>
          </w:p>
          <w:p w14:paraId="204BFADC">
            <w:pPr>
              <w:spacing w:beforeLines="0" w:afterLines="0"/>
              <w:jc w:val="center"/>
              <w:rPr>
                <w:rFonts w:hint="eastAsia" w:asciiTheme="minorEastAsia" w:hAnsiTheme="minorEastAsia" w:eastAsiaTheme="minorEastAsia" w:cstheme="minorEastAsia"/>
                <w:b w:val="0"/>
                <w:bCs/>
                <w:color w:val="000000"/>
                <w:sz w:val="21"/>
                <w:szCs w:val="21"/>
              </w:rPr>
            </w:pPr>
          </w:p>
          <w:p w14:paraId="238F302D">
            <w:pPr>
              <w:spacing w:beforeLines="0" w:afterLines="0"/>
              <w:jc w:val="center"/>
              <w:rPr>
                <w:rFonts w:hint="eastAsia" w:asciiTheme="minorEastAsia" w:hAnsiTheme="minorEastAsia" w:eastAsiaTheme="minorEastAsia" w:cstheme="minorEastAsia"/>
                <w:b w:val="0"/>
                <w:bCs/>
                <w:color w:val="000000"/>
                <w:sz w:val="21"/>
                <w:szCs w:val="21"/>
              </w:rPr>
            </w:pPr>
          </w:p>
          <w:p w14:paraId="26FDD38E">
            <w:pPr>
              <w:spacing w:beforeLines="0" w:afterLines="0"/>
              <w:jc w:val="center"/>
              <w:rPr>
                <w:rFonts w:hint="eastAsia" w:asciiTheme="minorEastAsia" w:hAnsiTheme="minorEastAsia" w:eastAsiaTheme="minorEastAsia" w:cstheme="minorEastAsia"/>
                <w:b w:val="0"/>
                <w:bCs/>
                <w:color w:val="000000"/>
                <w:sz w:val="21"/>
                <w:szCs w:val="21"/>
              </w:rPr>
            </w:pPr>
          </w:p>
          <w:p w14:paraId="77A9AFEB">
            <w:pPr>
              <w:spacing w:beforeLines="0" w:afterLines="0"/>
              <w:jc w:val="center"/>
              <w:rPr>
                <w:rFonts w:hint="eastAsia" w:asciiTheme="minorEastAsia" w:hAnsiTheme="minorEastAsia" w:eastAsiaTheme="minorEastAsia" w:cstheme="minorEastAsia"/>
                <w:b w:val="0"/>
                <w:bCs/>
                <w:color w:val="000000"/>
                <w:sz w:val="21"/>
                <w:szCs w:val="21"/>
              </w:rPr>
            </w:pPr>
          </w:p>
          <w:p w14:paraId="6ABD462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val="0"/>
                <w:color w:val="000000"/>
                <w:sz w:val="21"/>
                <w:szCs w:val="21"/>
              </w:rPr>
              <w:t>适配深圳迈瑞全自动</w:t>
            </w:r>
            <w:r>
              <w:rPr>
                <w:rFonts w:hint="eastAsia" w:asciiTheme="minorEastAsia" w:hAnsiTheme="minorEastAsia" w:eastAsiaTheme="minorEastAsia" w:cstheme="minorEastAsia"/>
                <w:b/>
                <w:bCs w:val="0"/>
                <w:color w:val="000000"/>
                <w:sz w:val="21"/>
                <w:szCs w:val="21"/>
                <w:lang w:val="en-US" w:eastAsia="zh-CN"/>
              </w:rPr>
              <w:t>CL-1200i发光免疫分析仪</w:t>
            </w:r>
          </w:p>
        </w:tc>
        <w:tc>
          <w:tcPr>
            <w:tcW w:w="1816" w:type="dxa"/>
            <w:tcBorders>
              <w:top w:val="single" w:color="auto" w:sz="6" w:space="0"/>
              <w:left w:val="single" w:color="auto" w:sz="6" w:space="0"/>
              <w:bottom w:val="single" w:color="auto" w:sz="6" w:space="0"/>
              <w:tl2br w:val="nil"/>
              <w:tr2bl w:val="nil"/>
            </w:tcBorders>
            <w:noWrap w:val="0"/>
            <w:vAlign w:val="center"/>
          </w:tcPr>
          <w:p w14:paraId="3F667DD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2444A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60973C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lang w:eastAsia="zh-CN"/>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944867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胃蛋白酶原Ⅰ测定试剂盒（化学发光免疫分析法）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A3010E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FAB176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65FD11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1A43A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3E90E8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AC5FF9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胃蛋白酶原Ⅱ测定试剂盒（化学发光免疫分析法）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D95816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803710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3D4693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6DDFE8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98C532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DDD0B6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胃泌素17（G-17）测定试剂盒（化学发光免疫分析法）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923FBD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F88EE9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F4821A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2EEEE5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ABE268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906A236">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S100蛋白测定试剂盒（化学发光免疫分析法）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3C3C647">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41A995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9B0046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727F9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F780A1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6BE6AA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幽门螺杆菌IgG抗体检测试剂盒（化学发光免疫分析法）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487B25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6DA3E1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3F7029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7B5BF9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29C809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19419D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异常凝血酶原（PIVKA-II）测定试剂盒（化学发光免疫分析法）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118C47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194958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DEB060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肿标</w:t>
            </w:r>
          </w:p>
        </w:tc>
      </w:tr>
      <w:tr w14:paraId="3E47F1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CECED4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02311B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反三碘甲状腺原氨酸测定试剂盒（化学发光免疫分析法）</w:t>
            </w:r>
          </w:p>
        </w:tc>
        <w:tc>
          <w:tcPr>
            <w:tcW w:w="1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CA31DB">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主要用于甲状腺功能的检测</w:t>
            </w:r>
          </w:p>
        </w:tc>
        <w:tc>
          <w:tcPr>
            <w:tcW w:w="2036" w:type="dxa"/>
            <w:vMerge w:val="continue"/>
            <w:tcBorders>
              <w:left w:val="single" w:color="auto" w:sz="4" w:space="0"/>
              <w:right w:val="single" w:color="auto" w:sz="6" w:space="0"/>
              <w:tl2br w:val="nil"/>
              <w:tr2bl w:val="nil"/>
            </w:tcBorders>
            <w:noWrap w:val="0"/>
            <w:vAlign w:val="top"/>
          </w:tcPr>
          <w:p w14:paraId="2A2FD77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5BEC1C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甲功</w:t>
            </w:r>
          </w:p>
        </w:tc>
      </w:tr>
      <w:tr w14:paraId="1BEBE8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D5E071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26876F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乙型肝炎病毒表面抗原(HBsAg)测定试剂盒(化学发光免疫分析法)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650B36E">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主要用于传染病项目的检测</w:t>
            </w:r>
          </w:p>
        </w:tc>
        <w:tc>
          <w:tcPr>
            <w:tcW w:w="2036" w:type="dxa"/>
            <w:vMerge w:val="continue"/>
            <w:tcBorders>
              <w:left w:val="single" w:color="auto" w:sz="4" w:space="0"/>
              <w:right w:val="single" w:color="auto" w:sz="6" w:space="0"/>
              <w:tl2br w:val="nil"/>
              <w:tr2bl w:val="nil"/>
            </w:tcBorders>
            <w:noWrap w:val="0"/>
            <w:vAlign w:val="top"/>
          </w:tcPr>
          <w:p w14:paraId="0671B14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3446E5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1E296C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CCB232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95E214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乙型肝炎病毒表面抗体（Anti-HBs）测定试剂盒（化学发光免疫分析法）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5E6702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E88779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4148D0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3A32E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5DE831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7C514C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乙型肝炎病毒e抗原测定试剂盒（化学发光免疫分析法）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15D81D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C981BC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107890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05804C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D6C3A5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1B8F23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人类免疫缺陷病毒抗原抗体（HIV）测定试剂盒（化学发光免疫分析法）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081715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3584CA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9576B7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24F70C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197166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C91CCD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梅毒螺旋体抗体测定试剂盒（化学发光免疫分析法）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71AB4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AB816C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19A62C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5984C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885097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455242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丙型肝炎病毒抗体检测试剂盒（化学发光免疫分析法）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340586B">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2B8CD6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D5FF6E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72344C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508C90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1C4991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乙型肝炎病毒e抗体测定试剂盒（化学发光免疫分析法）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00FA30">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8E2813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DB64C3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130159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78A4F3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8C2A64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乙型肝炎病毒核心抗体测定试剂盒（化学发光免疫分析法）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A3EEC9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F7552E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FB27F3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传染病</w:t>
            </w:r>
          </w:p>
        </w:tc>
      </w:tr>
      <w:tr w14:paraId="74DDFE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6111C4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8E6F56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25-羟基维生素D（VD-T）测定试剂盒（化学发光免疫分析法）</w:t>
            </w:r>
          </w:p>
        </w:tc>
        <w:tc>
          <w:tcPr>
            <w:tcW w:w="1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AC3200">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主要用于骨代谢的检测</w:t>
            </w:r>
          </w:p>
        </w:tc>
        <w:tc>
          <w:tcPr>
            <w:tcW w:w="2036" w:type="dxa"/>
            <w:vMerge w:val="continue"/>
            <w:tcBorders>
              <w:left w:val="single" w:color="auto" w:sz="4" w:space="0"/>
              <w:right w:val="single" w:color="auto" w:sz="6" w:space="0"/>
              <w:tl2br w:val="nil"/>
              <w:tr2bl w:val="nil"/>
            </w:tcBorders>
            <w:noWrap w:val="0"/>
            <w:vAlign w:val="top"/>
          </w:tcPr>
          <w:p w14:paraId="5121575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81D832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78A878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6"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E7AF55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9391AA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游离雌三醇（uE3）测定试剂盒（化学发光免疫分析法）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19CA49E0">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主要用于性激素的检测</w:t>
            </w:r>
          </w:p>
        </w:tc>
        <w:tc>
          <w:tcPr>
            <w:tcW w:w="2036" w:type="dxa"/>
            <w:vMerge w:val="continue"/>
            <w:tcBorders>
              <w:left w:val="single" w:color="auto" w:sz="4" w:space="0"/>
              <w:right w:val="single" w:color="auto" w:sz="6" w:space="0"/>
              <w:tl2br w:val="nil"/>
              <w:tr2bl w:val="nil"/>
            </w:tcBorders>
            <w:noWrap w:val="0"/>
            <w:vAlign w:val="top"/>
          </w:tcPr>
          <w:p w14:paraId="7FC782A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C27353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64C750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3A4536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E41C63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皮质醇（Cortisol）测定试剂盒（化学发光免疫分析法）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FE491C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8B4DC2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9B200C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4CC4F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FE444C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919A76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硫酸脱氢表雄酮（DHEA-S）测定试剂盒（化学发光免疫分析法）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207907B">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343C5E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C35731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32CCC3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638CF5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44A44F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促肾上腺皮质激素（ACTH）测定试剂盒（化学发光免疫分析法）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D69042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0E9EA5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8EE31B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64F1D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2D916B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4566E5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抗缪勒管激素测定试剂盒（化学发光免疫分析法）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F3C1B1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B43F7C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F961A7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1A5C58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76300F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D762A9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人生长激素测定试剂盒（化学发光免疫分析法）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A5B28A3">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3E38AC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D4252B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05CA97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1DCD28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A437F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胰岛素样生长因子-1（IGF-1）测定试剂盒（化学发光免疫分析法）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12B6DD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CA9393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51167C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2DF59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EC98A3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E5EA38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性激素结合球蛋白测定试剂盒（化学发光免疫分析法）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1DB2A54">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A8BFD8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766206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6A5B68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325022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03CCFB6">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游离睾酮测定试剂盒（化学发光免疫分析法）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72F5BE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8AC127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069D671">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44E4B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F1B96C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A773540">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总β人绒毛膜促性腺激素（TotalβHCG）测定试剂盒（化学发光免疫分析法）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784583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86A868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A42CB4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1D196F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AC1878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BDFCA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孕酮（PROG）测定试剂盒（化学发光免疫分析法）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214BC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2838E0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92EB0F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5A1C6A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CEBE11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3FCCAE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睾酮(TESTO)测定试剂盒(化学发光免疫分析法)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73CA040">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FFACC5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0C2661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579E23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289DDA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0F1A681">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促卵泡生成素（FSH）测定试剂盒（化学发光免疫分析法）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28CF2B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D0B024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64805C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183F58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5AA94F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B10274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促黄体生成素（LH）测定试剂盒（化学发光免疫分析法）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E610C2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8907AD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CAF46B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449844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3682F9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B6864E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雌二醇（E2）测定试剂盒（化学发光免疫分析仪）</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CFE63F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65AE65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96693F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3386CE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F54C8D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FF262B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垂体泌乳素（PRL）测定试剂盒（化学发光免疫分析法）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537D47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DBA32F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A76D7B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性激素</w:t>
            </w:r>
          </w:p>
        </w:tc>
      </w:tr>
      <w:tr w14:paraId="2E4CE8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E4008E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ECFB1B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肌钙蛋白Ⅰ(TnI)测定试剂盒(化学发光免疫分析法)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69FE1E6">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主要用于心肌功能的检测</w:t>
            </w:r>
          </w:p>
        </w:tc>
        <w:tc>
          <w:tcPr>
            <w:tcW w:w="2036" w:type="dxa"/>
            <w:vMerge w:val="continue"/>
            <w:tcBorders>
              <w:left w:val="single" w:color="auto" w:sz="4" w:space="0"/>
              <w:right w:val="single" w:color="auto" w:sz="6" w:space="0"/>
              <w:tl2br w:val="nil"/>
              <w:tr2bl w:val="nil"/>
            </w:tcBorders>
            <w:noWrap w:val="0"/>
            <w:vAlign w:val="top"/>
          </w:tcPr>
          <w:p w14:paraId="3001F51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20D181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692592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15794FB">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E30C0E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B型脑钠肽（BNP）测定试剂盒（化学发光免疫分析法）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1921E2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AA9473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1F9421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46DFE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E1C4CF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6A033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肌红蛋白（MYO）测定试剂盒（化学发光免疫分析法）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4989A3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EB32D0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38FAE6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59BA0E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5CF4F2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2864B7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肌酸激酶同工酶MB（CK-MB）测定试剂盒（化学发光免疫分析法）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34599B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418569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91770B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092A3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1CE57A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A759FA4">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高敏心肌肌钙蛋白I（hs-cTnI）测定试剂盒（化学发光免疫分析法）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CCC1B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7996A6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CFDE8D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589590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8727DB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AE371C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氨基末端脑利钠肽前体（NT—proBNP）测定试剂盒（化学发光免疫分析法）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5E1CC3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297A94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31E2D0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70E4A5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710BAE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D90158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可溶性生长刺激表达基因2蛋白（ST2）测定试剂盒（化学发光免疫分析法）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70C3F4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B799D6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E51769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5D3767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0ED2BDA">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4E2BE77">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高敏心肌肌钙蛋白T（hs-cTnT）测定试剂盒（化学发光免疫分析法）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FAC843">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E60265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BB05E6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798CE4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2EF029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FD5F9D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D-二聚体（D-Dimer）测定试剂盒（化学发光免疫分析法）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6F33A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B72347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6E7183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心肌</w:t>
            </w:r>
          </w:p>
        </w:tc>
      </w:tr>
      <w:tr w14:paraId="40BCF9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8213DA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7D2AD5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胰岛素（Insulin）测定试剂盒（化学发光免疫分析法）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438319C">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主要用于胰岛功能的检测</w:t>
            </w:r>
          </w:p>
        </w:tc>
        <w:tc>
          <w:tcPr>
            <w:tcW w:w="2036" w:type="dxa"/>
            <w:vMerge w:val="continue"/>
            <w:tcBorders>
              <w:left w:val="single" w:color="auto" w:sz="4" w:space="0"/>
              <w:right w:val="single" w:color="auto" w:sz="6" w:space="0"/>
              <w:tl2br w:val="nil"/>
              <w:tr2bl w:val="nil"/>
            </w:tcBorders>
            <w:noWrap w:val="0"/>
            <w:vAlign w:val="top"/>
          </w:tcPr>
          <w:p w14:paraId="0665B21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8834B0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糖代谢</w:t>
            </w:r>
          </w:p>
        </w:tc>
      </w:tr>
      <w:tr w14:paraId="1AACF1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2A75B9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5A438EB">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C肽（C-Peptide）测定试剂盒（化学发光免疫分析法）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466168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400E63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EEDC7E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糖代谢</w:t>
            </w:r>
          </w:p>
        </w:tc>
      </w:tr>
      <w:tr w14:paraId="009080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7B4A84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4D5EE3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维生素B12（VB12）测定试剂盒（化学发光免疫分析法）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DCB1ECA">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主要用于贫血的检查</w:t>
            </w:r>
          </w:p>
        </w:tc>
        <w:tc>
          <w:tcPr>
            <w:tcW w:w="2036" w:type="dxa"/>
            <w:vMerge w:val="continue"/>
            <w:tcBorders>
              <w:left w:val="single" w:color="auto" w:sz="4" w:space="0"/>
              <w:right w:val="single" w:color="auto" w:sz="6" w:space="0"/>
              <w:tl2br w:val="nil"/>
              <w:tr2bl w:val="nil"/>
            </w:tcBorders>
            <w:noWrap w:val="0"/>
            <w:vAlign w:val="top"/>
          </w:tcPr>
          <w:p w14:paraId="3F87EE4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FD4C81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贫血</w:t>
            </w:r>
          </w:p>
        </w:tc>
      </w:tr>
      <w:tr w14:paraId="1A6D74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6A2D31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6EFC2A1">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叶酸（Folate）测定试剂盒（化学发光免疫分析法）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83C045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65341A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B95A38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贫血</w:t>
            </w:r>
          </w:p>
        </w:tc>
      </w:tr>
      <w:tr w14:paraId="2CE44A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AD6D47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51139D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甲状旁腺素（PTH）测定试剂盒（化学发光免疫分析法）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D6CC6FF">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主要用于骨代谢功能的检查</w:t>
            </w:r>
          </w:p>
        </w:tc>
        <w:tc>
          <w:tcPr>
            <w:tcW w:w="2036" w:type="dxa"/>
            <w:vMerge w:val="continue"/>
            <w:tcBorders>
              <w:left w:val="single" w:color="auto" w:sz="4" w:space="0"/>
              <w:right w:val="single" w:color="auto" w:sz="6" w:space="0"/>
              <w:tl2br w:val="nil"/>
              <w:tr2bl w:val="nil"/>
            </w:tcBorders>
            <w:noWrap w:val="0"/>
            <w:vAlign w:val="top"/>
          </w:tcPr>
          <w:p w14:paraId="350BE78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C494DD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23BEF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DA03BA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ADB224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降钙素（CT）测定试剂盒（化学发光免疫分析法）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06C896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88C7C8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5449BD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2BBC1E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A9DA5C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4CE642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骨钙素测定试剂盒（化学发光免疫分析法）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AA05A1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133CCB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8694AF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46F3ED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902AA7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FB1E9C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β-胶原特殊序列测定试剂盒（化学发光免疫分析法）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989502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6532FA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710E94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1FCA9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6D32C0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E7D5667">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总Ⅰ型胶原氨基端延长肽（Total-P1NP）测定试剂盒 （化学发光免疫分析法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3D516A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835278B">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AE8032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骨代谢</w:t>
            </w:r>
          </w:p>
        </w:tc>
      </w:tr>
      <w:tr w14:paraId="2B088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E28ECE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A122B9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Ⅲ型前胶原氨基端肽测定试剂盒（化学发光免疫分析法）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219F63E">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主要用于肝纤维化的检查</w:t>
            </w:r>
          </w:p>
        </w:tc>
        <w:tc>
          <w:tcPr>
            <w:tcW w:w="2036" w:type="dxa"/>
            <w:vMerge w:val="continue"/>
            <w:tcBorders>
              <w:left w:val="single" w:color="auto" w:sz="4" w:space="0"/>
              <w:right w:val="single" w:color="auto" w:sz="6" w:space="0"/>
              <w:tl2br w:val="nil"/>
              <w:tr2bl w:val="nil"/>
            </w:tcBorders>
            <w:noWrap w:val="0"/>
            <w:vAlign w:val="top"/>
          </w:tcPr>
          <w:p w14:paraId="58F644D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415DEA4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303CA6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FB8010D">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ADF64F9">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Ⅳ型胶原测定试剂盒（化学发光免疫分析法）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A81C12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45D904D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8EFB3F4">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6E800B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3FAD02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700D7BA">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层粘连蛋白测定试剂盒（化学发光免疫分析法）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B059EF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A9E27D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7F90D5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452E3D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1FE69C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985B0C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透明质酸测定试剂盒（化学发光免疫分析法）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2D09B2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9386D66">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D2CF0B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肝纤维</w:t>
            </w:r>
          </w:p>
        </w:tc>
      </w:tr>
      <w:tr w14:paraId="1D44F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47E1E2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E81900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醛固酮（ALD）测定试剂盒（化学发光免疫分析法）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53C53FFF">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主要用于高血压的检查</w:t>
            </w:r>
          </w:p>
        </w:tc>
        <w:tc>
          <w:tcPr>
            <w:tcW w:w="2036" w:type="dxa"/>
            <w:vMerge w:val="continue"/>
            <w:tcBorders>
              <w:left w:val="single" w:color="auto" w:sz="4" w:space="0"/>
              <w:right w:val="single" w:color="auto" w:sz="6" w:space="0"/>
              <w:tl2br w:val="nil"/>
              <w:tr2bl w:val="nil"/>
            </w:tcBorders>
            <w:noWrap w:val="0"/>
            <w:vAlign w:val="top"/>
          </w:tcPr>
          <w:p w14:paraId="34CB7980">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1D5C876">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76BE8B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432FE4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870363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肾素（Renin）测定试剂盒（化学发光免疫分析法）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8AF94D7">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1516218">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136749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7AC78B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31E3F6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2F51891">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醛固酮（ALD）测定试剂盒（化学发光免疫分析法）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B65AC5">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C8D3A65">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C0EBAC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06D821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EB359BF">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4F08F7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肾素（Renin）测定试剂盒（化学发光免疫分析法）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39313E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05709F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AF4880B">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7B1C83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3CF2BE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0A1B697">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血管紧张素I（AI）测定试剂盒（化学发光免疫分析法）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A50AEAF">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528C4D3">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759A61B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6BDDC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26C7A890">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AABC88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血管紧张素Ⅱ（AⅡ）测定试剂盒（化学发光免疫分析）</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D99C5A4">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8BAFFE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54E324E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高血压</w:t>
            </w:r>
          </w:p>
        </w:tc>
      </w:tr>
      <w:tr w14:paraId="6F7EF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AD94A3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260EE8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凝血酶-抗凝血酶复合物（TAT）测定试剂盒（化学发光免疫分析法）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51394F1">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主要用于血栓的检查</w:t>
            </w:r>
          </w:p>
        </w:tc>
        <w:tc>
          <w:tcPr>
            <w:tcW w:w="2036" w:type="dxa"/>
            <w:vMerge w:val="continue"/>
            <w:tcBorders>
              <w:left w:val="single" w:color="auto" w:sz="4" w:space="0"/>
              <w:right w:val="single" w:color="auto" w:sz="6" w:space="0"/>
              <w:tl2br w:val="nil"/>
              <w:tr2bl w:val="nil"/>
            </w:tcBorders>
            <w:noWrap w:val="0"/>
            <w:vAlign w:val="top"/>
          </w:tcPr>
          <w:p w14:paraId="61D99DD7">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7212405">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3B232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1A51315">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72C1F94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纤溶酶-α2纤溶酶抑制剂复合物（PIC）测定试剂盒（化学发光免疫分析法）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565BB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A45EDC6">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9C0973A">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2A654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6C43BA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0F19F3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组织型纤溶酶原激活剂-抑制剂1复合物（t-PAIC）测定试剂盒（化学发光免疫分析法）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3E6D683">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2F80B0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E3350E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21F2DF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648F608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616F0F5B">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血栓调节蛋白(TM)测定试剂盒(化学发光免疫分析法)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50F843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16A0F3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D24AACD">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血栓</w:t>
            </w:r>
          </w:p>
        </w:tc>
      </w:tr>
      <w:tr w14:paraId="6612F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00329C3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C00DC3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降钙素原测定试剂盒（化学发光免疫分析法）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6D455DA">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主要用于炎症的检查</w:t>
            </w:r>
          </w:p>
        </w:tc>
        <w:tc>
          <w:tcPr>
            <w:tcW w:w="2036" w:type="dxa"/>
            <w:vMerge w:val="continue"/>
            <w:tcBorders>
              <w:left w:val="single" w:color="auto" w:sz="4" w:space="0"/>
              <w:right w:val="single" w:color="auto" w:sz="6" w:space="0"/>
              <w:tl2br w:val="nil"/>
              <w:tr2bl w:val="nil"/>
            </w:tcBorders>
            <w:noWrap w:val="0"/>
            <w:vAlign w:val="top"/>
          </w:tcPr>
          <w:p w14:paraId="2C3AF9D9">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6DFF9BF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炎症</w:t>
            </w:r>
          </w:p>
        </w:tc>
      </w:tr>
      <w:tr w14:paraId="5BDD94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FDC3C5E">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36F9DA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白介素6（IL-6）测定试剂盒（化学发光免疫分析法）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EAFC3D">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50171E3A">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B309E7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炎症</w:t>
            </w:r>
          </w:p>
        </w:tc>
      </w:tr>
      <w:tr w14:paraId="54F5E0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C7852C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11D646E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风疹病毒IgG抗体测定试剂盒（化学发光免疫分析法）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EBFDF8B">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主要用于弓形虫等病原体的检查</w:t>
            </w:r>
          </w:p>
        </w:tc>
        <w:tc>
          <w:tcPr>
            <w:tcW w:w="2036" w:type="dxa"/>
            <w:vMerge w:val="continue"/>
            <w:tcBorders>
              <w:left w:val="single" w:color="auto" w:sz="4" w:space="0"/>
              <w:right w:val="single" w:color="auto" w:sz="6" w:space="0"/>
              <w:tl2br w:val="nil"/>
              <w:tr2bl w:val="nil"/>
            </w:tcBorders>
            <w:noWrap w:val="0"/>
            <w:vAlign w:val="top"/>
          </w:tcPr>
          <w:p w14:paraId="21BA1146">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BDBEED9">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149B3E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F410046">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3E39B3FC">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风疹病毒IgM抗体检测试剂盒（化学发光免疫分析法）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0FE89F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2E68C5F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6280AD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11766D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AD66ACA">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A43B674">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弓形虫IgG抗体检测试剂盒（化学发光免疫分析法）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279E37E">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09A8468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94156EC">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449FAD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4066CB69">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5FC666E">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弓形虫IgM抗体检测试剂盒（化学发光免疫分析法）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59CCE5C">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66624DDD">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3B73542">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2AE640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8A9D5A8">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4DD4165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巨细胞病毒IgG抗体检测试剂盒（化学发光免疫分析法）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F155042">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31B12BF2">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5F9A60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53DC2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2803F62">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2ED741FD">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巨细胞病毒IgM抗体检测试剂盒（化学发光免疫分析法）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E3B610A">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27B3E94">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1E66A23">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75CC5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7E5CF9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4D560EF">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单纯疱疹病毒1型IgG抗体检测试剂盒（化学发光免疫分析法）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7F8BEF1">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9EE5201">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3B6C9F9F">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6DDEBD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5CBE5FC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3DB5D32">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单纯疱疹病毒2型IgG抗体检测试剂盒(化学发光免疫分析法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849ABB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D6A3265">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8629DA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4830E6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7"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194FE3D1">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2687564">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单纯疱疹病毒1+2型IgG抗体检测试剂盒（化学发光免疫分析法）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7A2FA61">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948D58E">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28960C98">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687265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71A8AF23">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08006A55">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单纯疱疹病毒1和2型IgM抗体检测试剂盒（化学发光免疫分析法）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C62BB28">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711C234C">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19F75667">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torch</w:t>
            </w:r>
          </w:p>
        </w:tc>
      </w:tr>
      <w:tr w14:paraId="14D35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832" w:type="dxa"/>
            <w:tcBorders>
              <w:top w:val="single" w:color="auto" w:sz="6" w:space="0"/>
              <w:bottom w:val="single" w:color="auto" w:sz="6" w:space="0"/>
              <w:right w:val="single" w:color="auto" w:sz="6" w:space="0"/>
              <w:tl2br w:val="nil"/>
              <w:tr2bl w:val="nil"/>
            </w:tcBorders>
            <w:shd w:val="clear" w:color="auto" w:fill="auto"/>
            <w:noWrap w:val="0"/>
            <w:vAlign w:val="center"/>
          </w:tcPr>
          <w:p w14:paraId="3F8BAD84">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bottom w:val="single" w:color="auto" w:sz="6" w:space="0"/>
              <w:right w:val="single" w:color="auto" w:sz="4" w:space="0"/>
              <w:tl2br w:val="nil"/>
              <w:tr2bl w:val="nil"/>
            </w:tcBorders>
            <w:shd w:val="clear" w:color="FFFFFF" w:fill="auto"/>
            <w:noWrap w:val="0"/>
            <w:vAlign w:val="top"/>
          </w:tcPr>
          <w:p w14:paraId="54BA8A68">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人生长激素测定试剂盒（化学发光免疫分析法）</w:t>
            </w:r>
          </w:p>
        </w:tc>
        <w:tc>
          <w:tcPr>
            <w:tcW w:w="182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D521863">
            <w:pPr>
              <w:spacing w:beforeLines="0" w:afterLines="0"/>
              <w:ind w:left="0" w:leftChars="0" w:firstLine="0" w:firstLineChars="0"/>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主要用于生长激素的测定</w:t>
            </w:r>
          </w:p>
        </w:tc>
        <w:tc>
          <w:tcPr>
            <w:tcW w:w="2036" w:type="dxa"/>
            <w:vMerge w:val="continue"/>
            <w:tcBorders>
              <w:left w:val="single" w:color="auto" w:sz="4" w:space="0"/>
              <w:right w:val="single" w:color="auto" w:sz="6" w:space="0"/>
              <w:tl2br w:val="nil"/>
              <w:tr2bl w:val="nil"/>
            </w:tcBorders>
            <w:noWrap w:val="0"/>
            <w:vAlign w:val="top"/>
          </w:tcPr>
          <w:p w14:paraId="4476B678">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bottom w:val="single" w:color="auto" w:sz="6" w:space="0"/>
              <w:tl2br w:val="nil"/>
              <w:tr2bl w:val="nil"/>
            </w:tcBorders>
            <w:noWrap w:val="0"/>
            <w:vAlign w:val="center"/>
          </w:tcPr>
          <w:p w14:paraId="00ADEBA0">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生长激素</w:t>
            </w:r>
          </w:p>
        </w:tc>
      </w:tr>
      <w:tr w14:paraId="519385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9" w:hRule="atLeast"/>
          <w:jc w:val="center"/>
        </w:trPr>
        <w:tc>
          <w:tcPr>
            <w:tcW w:w="832" w:type="dxa"/>
            <w:tcBorders>
              <w:top w:val="single" w:color="auto" w:sz="6" w:space="0"/>
              <w:right w:val="single" w:color="auto" w:sz="6" w:space="0"/>
              <w:tl2br w:val="nil"/>
              <w:tr2bl w:val="nil"/>
            </w:tcBorders>
            <w:shd w:val="clear" w:color="auto" w:fill="auto"/>
            <w:noWrap w:val="0"/>
            <w:vAlign w:val="center"/>
          </w:tcPr>
          <w:p w14:paraId="5E86422C">
            <w:pPr>
              <w:numPr>
                <w:ilvl w:val="0"/>
                <w:numId w:val="2"/>
              </w:numPr>
              <w:spacing w:beforeLines="0" w:afterLines="0"/>
              <w:ind w:left="425" w:leftChars="0" w:hanging="425" w:firstLineChars="0"/>
              <w:jc w:val="center"/>
              <w:rPr>
                <w:rFonts w:hint="eastAsia" w:asciiTheme="minorEastAsia" w:hAnsiTheme="minorEastAsia" w:eastAsiaTheme="minorEastAsia" w:cstheme="minorEastAsia"/>
                <w:color w:val="000000"/>
                <w:sz w:val="21"/>
                <w:szCs w:val="21"/>
              </w:rPr>
            </w:pPr>
          </w:p>
        </w:tc>
        <w:tc>
          <w:tcPr>
            <w:tcW w:w="3873" w:type="dxa"/>
            <w:tcBorders>
              <w:top w:val="single" w:color="auto" w:sz="6" w:space="0"/>
              <w:left w:val="single" w:color="auto" w:sz="6" w:space="0"/>
              <w:right w:val="single" w:color="auto" w:sz="4" w:space="0"/>
              <w:tl2br w:val="nil"/>
              <w:tr2bl w:val="nil"/>
            </w:tcBorders>
            <w:shd w:val="clear" w:color="FFFFFF" w:fill="auto"/>
            <w:noWrap w:val="0"/>
            <w:vAlign w:val="top"/>
          </w:tcPr>
          <w:p w14:paraId="7F66C693">
            <w:pPr>
              <w:spacing w:beforeLines="0" w:afterLines="0"/>
              <w:ind w:left="0" w:leftChars="0" w:firstLine="0" w:firstLineChars="0"/>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胰岛素样生长因子-1（IGF-1）测定试剂盒（化学发光免疫分析法）</w:t>
            </w:r>
          </w:p>
        </w:tc>
        <w:tc>
          <w:tcPr>
            <w:tcW w:w="182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645ADA6">
            <w:pPr>
              <w:spacing w:beforeLines="0" w:afterLines="0"/>
              <w:jc w:val="center"/>
              <w:rPr>
                <w:rFonts w:hint="eastAsia" w:asciiTheme="minorEastAsia" w:hAnsiTheme="minorEastAsia" w:eastAsiaTheme="minorEastAsia" w:cstheme="minorEastAsia"/>
                <w:color w:val="000000"/>
                <w:sz w:val="21"/>
                <w:szCs w:val="21"/>
              </w:rPr>
            </w:pPr>
          </w:p>
        </w:tc>
        <w:tc>
          <w:tcPr>
            <w:tcW w:w="2036" w:type="dxa"/>
            <w:vMerge w:val="continue"/>
            <w:tcBorders>
              <w:left w:val="single" w:color="auto" w:sz="4" w:space="0"/>
              <w:right w:val="single" w:color="auto" w:sz="6" w:space="0"/>
              <w:tl2br w:val="nil"/>
              <w:tr2bl w:val="nil"/>
            </w:tcBorders>
            <w:noWrap w:val="0"/>
            <w:vAlign w:val="top"/>
          </w:tcPr>
          <w:p w14:paraId="1DAB785F">
            <w:pPr>
              <w:spacing w:beforeLines="0" w:afterLines="0"/>
              <w:jc w:val="center"/>
              <w:rPr>
                <w:rFonts w:hint="eastAsia" w:asciiTheme="minorEastAsia" w:hAnsiTheme="minorEastAsia" w:eastAsiaTheme="minorEastAsia" w:cstheme="minorEastAsia"/>
                <w:color w:val="000000"/>
                <w:sz w:val="21"/>
                <w:szCs w:val="21"/>
              </w:rPr>
            </w:pPr>
          </w:p>
        </w:tc>
        <w:tc>
          <w:tcPr>
            <w:tcW w:w="1816" w:type="dxa"/>
            <w:tcBorders>
              <w:top w:val="single" w:color="auto" w:sz="6" w:space="0"/>
              <w:left w:val="single" w:color="auto" w:sz="6" w:space="0"/>
              <w:tl2br w:val="nil"/>
              <w:tr2bl w:val="nil"/>
            </w:tcBorders>
            <w:noWrap w:val="0"/>
            <w:vAlign w:val="center"/>
          </w:tcPr>
          <w:p w14:paraId="643E078E">
            <w:pPr>
              <w:spacing w:beforeLines="0" w:afterLines="0"/>
              <w:ind w:left="0" w:leftChars="0" w:firstLine="0" w:firstLineChars="0"/>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生长激素</w:t>
            </w:r>
          </w:p>
        </w:tc>
      </w:tr>
    </w:tbl>
    <w:p w14:paraId="4E9932F0">
      <w:pPr>
        <w:rPr>
          <w:rFonts w:hint="eastAsia"/>
          <w:lang w:val="en-US" w:eastAsia="zh-CN"/>
        </w:rPr>
      </w:pPr>
    </w:p>
    <w:p w14:paraId="48F4F856">
      <w:pPr>
        <w:rPr>
          <w:rFonts w:hint="eastAsia"/>
          <w:lang w:val="en-US" w:eastAsia="zh-CN"/>
        </w:rPr>
      </w:pPr>
    </w:p>
    <w:p w14:paraId="7ECA9748">
      <w:pPr>
        <w:rPr>
          <w:rFonts w:hint="eastAsia"/>
          <w:lang w:val="en-US" w:eastAsia="zh-CN"/>
        </w:rPr>
      </w:pPr>
    </w:p>
    <w:p w14:paraId="0775A8B9">
      <w:pPr>
        <w:rPr>
          <w:rFonts w:hint="eastAsia"/>
          <w:lang w:val="en-US" w:eastAsia="zh-CN"/>
        </w:rPr>
      </w:pPr>
    </w:p>
    <w:p w14:paraId="4EC23A2C">
      <w:pPr>
        <w:rPr>
          <w:rFonts w:hint="eastAsia"/>
          <w:lang w:val="en-US" w:eastAsia="zh-CN"/>
        </w:rPr>
      </w:pPr>
    </w:p>
    <w:p w14:paraId="61C6B7C1">
      <w:pPr>
        <w:rPr>
          <w:rFonts w:hint="eastAsia"/>
          <w:lang w:val="en-US" w:eastAsia="zh-CN"/>
        </w:rPr>
      </w:pPr>
    </w:p>
    <w:p w14:paraId="496C987A">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3：生化类试剂（集采）</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3209"/>
        <w:gridCol w:w="1892"/>
        <w:gridCol w:w="2198"/>
        <w:gridCol w:w="1655"/>
      </w:tblGrid>
      <w:tr w14:paraId="7D95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350" w:type="pct"/>
            <w:tcBorders>
              <w:tl2br w:val="nil"/>
              <w:tr2bl w:val="nil"/>
            </w:tcBorders>
            <w:noWrap w:val="0"/>
            <w:vAlign w:val="center"/>
          </w:tcPr>
          <w:p w14:paraId="35F07804">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序号</w:t>
            </w:r>
          </w:p>
        </w:tc>
        <w:tc>
          <w:tcPr>
            <w:tcW w:w="1666" w:type="pct"/>
            <w:tcBorders>
              <w:tl2br w:val="nil"/>
              <w:tr2bl w:val="nil"/>
            </w:tcBorders>
            <w:noWrap w:val="0"/>
            <w:vAlign w:val="center"/>
          </w:tcPr>
          <w:p w14:paraId="6B2FD3EA">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产品名称</w:t>
            </w:r>
          </w:p>
        </w:tc>
        <w:tc>
          <w:tcPr>
            <w:tcW w:w="982" w:type="pct"/>
            <w:tcBorders>
              <w:tl2br w:val="nil"/>
              <w:tr2bl w:val="nil"/>
            </w:tcBorders>
            <w:noWrap w:val="0"/>
            <w:vAlign w:val="center"/>
          </w:tcPr>
          <w:p w14:paraId="698AC38B">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用途</w:t>
            </w:r>
          </w:p>
        </w:tc>
        <w:tc>
          <w:tcPr>
            <w:tcW w:w="1141" w:type="pct"/>
            <w:tcBorders>
              <w:tl2br w:val="nil"/>
              <w:tr2bl w:val="nil"/>
            </w:tcBorders>
            <w:noWrap w:val="0"/>
            <w:vAlign w:val="center"/>
          </w:tcPr>
          <w:p w14:paraId="064FF408">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参数要求</w:t>
            </w:r>
          </w:p>
        </w:tc>
        <w:tc>
          <w:tcPr>
            <w:tcW w:w="859" w:type="pct"/>
            <w:tcBorders>
              <w:tl2br w:val="nil"/>
              <w:tr2bl w:val="nil"/>
            </w:tcBorders>
            <w:noWrap w:val="0"/>
            <w:vAlign w:val="center"/>
          </w:tcPr>
          <w:p w14:paraId="1352ECB9">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lang w:val="en-US" w:eastAsia="zh-CN"/>
              </w:rPr>
            </w:pPr>
            <w:r>
              <w:rPr>
                <w:rFonts w:hint="eastAsia" w:asciiTheme="minorEastAsia" w:hAnsiTheme="minorEastAsia" w:eastAsiaTheme="minorEastAsia" w:cstheme="minorEastAsia"/>
                <w:b/>
                <w:bCs w:val="0"/>
                <w:color w:val="000000"/>
                <w:sz w:val="21"/>
                <w:szCs w:val="21"/>
                <w:lang w:val="en-US" w:eastAsia="zh-CN"/>
              </w:rPr>
              <w:t>备注</w:t>
            </w:r>
          </w:p>
        </w:tc>
      </w:tr>
      <w:tr w14:paraId="07EE3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50" w:type="pct"/>
            <w:tcBorders>
              <w:tl2br w:val="nil"/>
              <w:tr2bl w:val="nil"/>
            </w:tcBorders>
            <w:shd w:val="clear" w:color="FFFFFF" w:fill="auto"/>
            <w:noWrap w:val="0"/>
            <w:vAlign w:val="center"/>
          </w:tcPr>
          <w:p w14:paraId="69B51C2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w:t>
            </w:r>
          </w:p>
        </w:tc>
        <w:tc>
          <w:tcPr>
            <w:tcW w:w="1666" w:type="pct"/>
            <w:tcBorders>
              <w:tl2br w:val="nil"/>
              <w:tr2bl w:val="nil"/>
            </w:tcBorders>
            <w:shd w:val="clear" w:color="auto" w:fill="auto"/>
            <w:noWrap w:val="0"/>
            <w:vAlign w:val="center"/>
          </w:tcPr>
          <w:p w14:paraId="3EF7F81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丙氨酸氨基转移酶（ALT）测定试剂盒（IFCC法）</w:t>
            </w:r>
          </w:p>
        </w:tc>
        <w:tc>
          <w:tcPr>
            <w:tcW w:w="982" w:type="pct"/>
            <w:vMerge w:val="restart"/>
            <w:tcBorders>
              <w:tl2br w:val="nil"/>
              <w:tr2bl w:val="nil"/>
            </w:tcBorders>
            <w:shd w:val="clear" w:color="auto" w:fill="auto"/>
            <w:noWrap w:val="0"/>
            <w:vAlign w:val="center"/>
          </w:tcPr>
          <w:p w14:paraId="7A39552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主要用于肝脏功能检查</w:t>
            </w:r>
          </w:p>
        </w:tc>
        <w:tc>
          <w:tcPr>
            <w:tcW w:w="1141" w:type="pct"/>
            <w:vMerge w:val="restart"/>
            <w:tcBorders>
              <w:tl2br w:val="nil"/>
              <w:tr2bl w:val="nil"/>
            </w:tcBorders>
            <w:shd w:val="clear" w:color="auto" w:fill="auto"/>
            <w:noWrap w:val="0"/>
            <w:vAlign w:val="center"/>
          </w:tcPr>
          <w:p w14:paraId="7C0F425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bCs w:val="0"/>
                <w:color w:val="000000"/>
                <w:sz w:val="21"/>
                <w:szCs w:val="21"/>
              </w:rPr>
              <w:t>适配深圳迈瑞全自动BS-800</w:t>
            </w:r>
            <w:r>
              <w:rPr>
                <w:rFonts w:hint="eastAsia" w:asciiTheme="minorEastAsia" w:hAnsiTheme="minorEastAsia" w:eastAsiaTheme="minorEastAsia" w:cstheme="minorEastAsia"/>
                <w:b/>
                <w:bCs w:val="0"/>
                <w:color w:val="000000"/>
                <w:sz w:val="21"/>
                <w:szCs w:val="21"/>
                <w:lang w:val="en-US" w:eastAsia="zh-CN"/>
              </w:rPr>
              <w:t>M</w:t>
            </w:r>
            <w:r>
              <w:rPr>
                <w:rFonts w:hint="eastAsia" w:asciiTheme="minorEastAsia" w:hAnsiTheme="minorEastAsia" w:eastAsiaTheme="minorEastAsia" w:cstheme="minorEastAsia"/>
                <w:b/>
                <w:bCs w:val="0"/>
                <w:color w:val="000000"/>
                <w:sz w:val="21"/>
                <w:szCs w:val="21"/>
              </w:rPr>
              <w:t>生化分析仪</w:t>
            </w:r>
          </w:p>
        </w:tc>
        <w:tc>
          <w:tcPr>
            <w:tcW w:w="859" w:type="pct"/>
            <w:tcBorders>
              <w:tl2br w:val="nil"/>
              <w:tr2bl w:val="nil"/>
            </w:tcBorders>
            <w:shd w:val="solid" w:color="99CC00" w:fill="auto"/>
            <w:noWrap w:val="0"/>
            <w:vAlign w:val="center"/>
          </w:tcPr>
          <w:p w14:paraId="52DD3985">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01A2F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350" w:type="pct"/>
            <w:tcBorders>
              <w:tl2br w:val="nil"/>
              <w:tr2bl w:val="nil"/>
            </w:tcBorders>
            <w:shd w:val="clear" w:color="FFFFFF" w:fill="auto"/>
            <w:noWrap w:val="0"/>
            <w:vAlign w:val="center"/>
          </w:tcPr>
          <w:p w14:paraId="66E23A9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w:t>
            </w:r>
          </w:p>
        </w:tc>
        <w:tc>
          <w:tcPr>
            <w:tcW w:w="1666" w:type="pct"/>
            <w:tcBorders>
              <w:tl2br w:val="nil"/>
              <w:tr2bl w:val="nil"/>
            </w:tcBorders>
            <w:shd w:val="clear" w:color="auto" w:fill="auto"/>
            <w:noWrap w:val="0"/>
            <w:vAlign w:val="center"/>
          </w:tcPr>
          <w:p w14:paraId="4041E9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天门冬氨酸氨基转移酶（AST）测定试剂盒（IFCC法）</w:t>
            </w:r>
          </w:p>
        </w:tc>
        <w:tc>
          <w:tcPr>
            <w:tcW w:w="982" w:type="pct"/>
            <w:vMerge w:val="continue"/>
            <w:tcBorders>
              <w:tl2br w:val="nil"/>
              <w:tr2bl w:val="nil"/>
            </w:tcBorders>
            <w:shd w:val="clear" w:color="auto" w:fill="auto"/>
            <w:noWrap w:val="0"/>
            <w:vAlign w:val="center"/>
          </w:tcPr>
          <w:p w14:paraId="55573A2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ECEE89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869A59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5CDE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350" w:type="pct"/>
            <w:tcBorders>
              <w:tl2br w:val="nil"/>
              <w:tr2bl w:val="nil"/>
            </w:tcBorders>
            <w:shd w:val="clear" w:color="FFFFFF" w:fill="auto"/>
            <w:noWrap w:val="0"/>
            <w:vAlign w:val="center"/>
          </w:tcPr>
          <w:p w14:paraId="5CF86D8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w:t>
            </w:r>
          </w:p>
        </w:tc>
        <w:tc>
          <w:tcPr>
            <w:tcW w:w="1666" w:type="pct"/>
            <w:tcBorders>
              <w:tl2br w:val="nil"/>
              <w:tr2bl w:val="nil"/>
            </w:tcBorders>
            <w:shd w:val="clear" w:color="auto" w:fill="auto"/>
            <w:noWrap w:val="0"/>
            <w:vAlign w:val="center"/>
          </w:tcPr>
          <w:p w14:paraId="19AA910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碱性磷酸酶（ALP）测定试剂盒（AMP缓冲液法）</w:t>
            </w:r>
          </w:p>
        </w:tc>
        <w:tc>
          <w:tcPr>
            <w:tcW w:w="982" w:type="pct"/>
            <w:vMerge w:val="continue"/>
            <w:tcBorders>
              <w:tl2br w:val="nil"/>
              <w:tr2bl w:val="nil"/>
            </w:tcBorders>
            <w:shd w:val="clear" w:color="auto" w:fill="auto"/>
            <w:noWrap w:val="0"/>
            <w:vAlign w:val="center"/>
          </w:tcPr>
          <w:p w14:paraId="6F09EDB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187733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C30F50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207B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350" w:type="pct"/>
            <w:tcBorders>
              <w:tl2br w:val="nil"/>
              <w:tr2bl w:val="nil"/>
            </w:tcBorders>
            <w:shd w:val="clear" w:color="FFFFFF" w:fill="auto"/>
            <w:noWrap w:val="0"/>
            <w:vAlign w:val="center"/>
          </w:tcPr>
          <w:p w14:paraId="0E2791E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w:t>
            </w:r>
          </w:p>
        </w:tc>
        <w:tc>
          <w:tcPr>
            <w:tcW w:w="1666" w:type="pct"/>
            <w:tcBorders>
              <w:tl2br w:val="nil"/>
              <w:tr2bl w:val="nil"/>
            </w:tcBorders>
            <w:shd w:val="clear" w:color="auto" w:fill="auto"/>
            <w:noWrap w:val="0"/>
            <w:vAlign w:val="center"/>
          </w:tcPr>
          <w:p w14:paraId="5F4FC64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γ-谷氨酰转移酶（γ-GT）测定试剂盒（IFCC法）</w:t>
            </w:r>
          </w:p>
        </w:tc>
        <w:tc>
          <w:tcPr>
            <w:tcW w:w="982" w:type="pct"/>
            <w:vMerge w:val="continue"/>
            <w:tcBorders>
              <w:tl2br w:val="nil"/>
              <w:tr2bl w:val="nil"/>
            </w:tcBorders>
            <w:shd w:val="clear" w:color="auto" w:fill="auto"/>
            <w:noWrap w:val="0"/>
            <w:vAlign w:val="center"/>
          </w:tcPr>
          <w:p w14:paraId="4E65790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D6F8C2F">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7484E6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21C9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350" w:type="pct"/>
            <w:tcBorders>
              <w:tl2br w:val="nil"/>
              <w:tr2bl w:val="nil"/>
            </w:tcBorders>
            <w:shd w:val="clear" w:color="FFFFFF" w:fill="auto"/>
            <w:noWrap w:val="0"/>
            <w:vAlign w:val="center"/>
          </w:tcPr>
          <w:p w14:paraId="0F56D8B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5</w:t>
            </w:r>
          </w:p>
        </w:tc>
        <w:tc>
          <w:tcPr>
            <w:tcW w:w="1666" w:type="pct"/>
            <w:tcBorders>
              <w:tl2br w:val="nil"/>
              <w:tr2bl w:val="nil"/>
            </w:tcBorders>
            <w:shd w:val="clear" w:color="auto" w:fill="auto"/>
            <w:noWrap w:val="0"/>
            <w:vAlign w:val="center"/>
          </w:tcPr>
          <w:p w14:paraId="41CC6D66">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总胆红素（T-Bil）测定试剂盒（钒酸盐氧化法）</w:t>
            </w:r>
          </w:p>
        </w:tc>
        <w:tc>
          <w:tcPr>
            <w:tcW w:w="982" w:type="pct"/>
            <w:vMerge w:val="continue"/>
            <w:tcBorders>
              <w:tl2br w:val="nil"/>
              <w:tr2bl w:val="nil"/>
            </w:tcBorders>
            <w:shd w:val="clear" w:color="auto" w:fill="auto"/>
            <w:noWrap w:val="0"/>
            <w:vAlign w:val="center"/>
          </w:tcPr>
          <w:p w14:paraId="1B69796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AB0263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EE05BF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5636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350" w:type="pct"/>
            <w:tcBorders>
              <w:tl2br w:val="nil"/>
              <w:tr2bl w:val="nil"/>
            </w:tcBorders>
            <w:shd w:val="clear" w:color="FFFFFF" w:fill="auto"/>
            <w:noWrap w:val="0"/>
            <w:vAlign w:val="center"/>
          </w:tcPr>
          <w:p w14:paraId="18C0607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6</w:t>
            </w:r>
          </w:p>
        </w:tc>
        <w:tc>
          <w:tcPr>
            <w:tcW w:w="1666" w:type="pct"/>
            <w:tcBorders>
              <w:tl2br w:val="nil"/>
              <w:tr2bl w:val="nil"/>
            </w:tcBorders>
            <w:shd w:val="clear" w:color="auto" w:fill="auto"/>
            <w:noWrap w:val="0"/>
            <w:vAlign w:val="center"/>
          </w:tcPr>
          <w:p w14:paraId="3E10741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直接胆红素（D-Bil）测定试剂盒（钒酸盐氧化法）</w:t>
            </w:r>
          </w:p>
        </w:tc>
        <w:tc>
          <w:tcPr>
            <w:tcW w:w="982" w:type="pct"/>
            <w:vMerge w:val="continue"/>
            <w:tcBorders>
              <w:tl2br w:val="nil"/>
              <w:tr2bl w:val="nil"/>
            </w:tcBorders>
            <w:shd w:val="clear" w:color="auto" w:fill="auto"/>
            <w:noWrap w:val="0"/>
            <w:vAlign w:val="center"/>
          </w:tcPr>
          <w:p w14:paraId="5B4D21C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E12776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2D0C75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8C7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350" w:type="pct"/>
            <w:tcBorders>
              <w:tl2br w:val="nil"/>
              <w:tr2bl w:val="nil"/>
            </w:tcBorders>
            <w:shd w:val="clear" w:color="FFFFFF" w:fill="auto"/>
            <w:noWrap w:val="0"/>
            <w:vAlign w:val="center"/>
          </w:tcPr>
          <w:p w14:paraId="3282C78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7</w:t>
            </w:r>
          </w:p>
        </w:tc>
        <w:tc>
          <w:tcPr>
            <w:tcW w:w="1666" w:type="pct"/>
            <w:tcBorders>
              <w:tl2br w:val="nil"/>
              <w:tr2bl w:val="nil"/>
            </w:tcBorders>
            <w:shd w:val="clear" w:color="auto" w:fill="auto"/>
            <w:noWrap w:val="0"/>
            <w:vAlign w:val="center"/>
          </w:tcPr>
          <w:p w14:paraId="5BE0FF86">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总蛋白（TP）测定试剂盒（双缩脲法）</w:t>
            </w:r>
          </w:p>
        </w:tc>
        <w:tc>
          <w:tcPr>
            <w:tcW w:w="982" w:type="pct"/>
            <w:vMerge w:val="continue"/>
            <w:tcBorders>
              <w:tl2br w:val="nil"/>
              <w:tr2bl w:val="nil"/>
            </w:tcBorders>
            <w:shd w:val="clear" w:color="auto" w:fill="auto"/>
            <w:noWrap w:val="0"/>
            <w:vAlign w:val="center"/>
          </w:tcPr>
          <w:p w14:paraId="08E1578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B683AA2">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D5565BB">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B7D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350" w:type="pct"/>
            <w:tcBorders>
              <w:tl2br w:val="nil"/>
              <w:tr2bl w:val="nil"/>
            </w:tcBorders>
            <w:shd w:val="clear" w:color="FFFFFF" w:fill="auto"/>
            <w:noWrap w:val="0"/>
            <w:vAlign w:val="center"/>
          </w:tcPr>
          <w:p w14:paraId="74F216F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8</w:t>
            </w:r>
          </w:p>
        </w:tc>
        <w:tc>
          <w:tcPr>
            <w:tcW w:w="1666" w:type="pct"/>
            <w:tcBorders>
              <w:tl2br w:val="nil"/>
              <w:tr2bl w:val="nil"/>
            </w:tcBorders>
            <w:shd w:val="clear" w:color="auto" w:fill="auto"/>
            <w:noWrap w:val="0"/>
            <w:vAlign w:val="center"/>
          </w:tcPr>
          <w:p w14:paraId="34D7856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白蛋白（ALB）测定试剂盒（溴甲酚绿法）</w:t>
            </w:r>
          </w:p>
        </w:tc>
        <w:tc>
          <w:tcPr>
            <w:tcW w:w="982" w:type="pct"/>
            <w:vMerge w:val="continue"/>
            <w:tcBorders>
              <w:tl2br w:val="nil"/>
              <w:tr2bl w:val="nil"/>
            </w:tcBorders>
            <w:shd w:val="clear" w:color="auto" w:fill="auto"/>
            <w:noWrap w:val="0"/>
            <w:vAlign w:val="center"/>
          </w:tcPr>
          <w:p w14:paraId="4865563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51DE3C5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EE62F72">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099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50" w:type="pct"/>
            <w:tcBorders>
              <w:tl2br w:val="nil"/>
              <w:tr2bl w:val="nil"/>
            </w:tcBorders>
            <w:shd w:val="clear" w:color="FFFFFF" w:fill="auto"/>
            <w:noWrap w:val="0"/>
            <w:vAlign w:val="center"/>
          </w:tcPr>
          <w:p w14:paraId="1F3D12F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9</w:t>
            </w:r>
          </w:p>
        </w:tc>
        <w:tc>
          <w:tcPr>
            <w:tcW w:w="1666" w:type="pct"/>
            <w:tcBorders>
              <w:tl2br w:val="nil"/>
              <w:tr2bl w:val="nil"/>
            </w:tcBorders>
            <w:shd w:val="clear" w:color="auto" w:fill="auto"/>
            <w:noWrap w:val="0"/>
            <w:vAlign w:val="center"/>
          </w:tcPr>
          <w:p w14:paraId="41B4018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总胆汁酸（TBA）测定试剂盒（循环酶法）</w:t>
            </w:r>
          </w:p>
        </w:tc>
        <w:tc>
          <w:tcPr>
            <w:tcW w:w="982" w:type="pct"/>
            <w:vMerge w:val="continue"/>
            <w:tcBorders>
              <w:tl2br w:val="nil"/>
              <w:tr2bl w:val="nil"/>
            </w:tcBorders>
            <w:shd w:val="clear" w:color="auto" w:fill="auto"/>
            <w:noWrap w:val="0"/>
            <w:vAlign w:val="center"/>
          </w:tcPr>
          <w:p w14:paraId="0586B12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02BB4A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7289BEE">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642A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50" w:type="pct"/>
            <w:tcBorders>
              <w:tl2br w:val="nil"/>
              <w:tr2bl w:val="nil"/>
            </w:tcBorders>
            <w:shd w:val="clear" w:color="FFFFFF" w:fill="auto"/>
            <w:noWrap w:val="0"/>
            <w:vAlign w:val="center"/>
          </w:tcPr>
          <w:p w14:paraId="56227D5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10</w:t>
            </w:r>
          </w:p>
        </w:tc>
        <w:tc>
          <w:tcPr>
            <w:tcW w:w="1666" w:type="pct"/>
            <w:tcBorders>
              <w:tl2br w:val="nil"/>
              <w:tr2bl w:val="nil"/>
            </w:tcBorders>
            <w:shd w:val="clear" w:color="auto" w:fill="auto"/>
            <w:noWrap w:val="0"/>
            <w:vAlign w:val="center"/>
          </w:tcPr>
          <w:p w14:paraId="646DFEB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胆碱酯酶（CHE）测定试剂盒（丁酰硫代胆碱法）</w:t>
            </w:r>
          </w:p>
        </w:tc>
        <w:tc>
          <w:tcPr>
            <w:tcW w:w="982" w:type="pct"/>
            <w:vMerge w:val="continue"/>
            <w:tcBorders>
              <w:tl2br w:val="nil"/>
              <w:tr2bl w:val="nil"/>
            </w:tcBorders>
            <w:shd w:val="clear" w:color="auto" w:fill="auto"/>
            <w:noWrap w:val="0"/>
            <w:vAlign w:val="center"/>
          </w:tcPr>
          <w:p w14:paraId="3BBBD5C3">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CBEED0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4EC458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1E99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0E0A3D2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11</w:t>
            </w:r>
          </w:p>
        </w:tc>
        <w:tc>
          <w:tcPr>
            <w:tcW w:w="1666" w:type="pct"/>
            <w:tcBorders>
              <w:tl2br w:val="nil"/>
              <w:tr2bl w:val="nil"/>
            </w:tcBorders>
            <w:shd w:val="clear" w:color="auto" w:fill="auto"/>
            <w:noWrap w:val="0"/>
            <w:vAlign w:val="center"/>
          </w:tcPr>
          <w:p w14:paraId="4CD2D11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前白蛋白（PA）测定试剂盒（免疫透射比浊法）</w:t>
            </w:r>
          </w:p>
        </w:tc>
        <w:tc>
          <w:tcPr>
            <w:tcW w:w="982" w:type="pct"/>
            <w:vMerge w:val="continue"/>
            <w:tcBorders>
              <w:tl2br w:val="nil"/>
              <w:tr2bl w:val="nil"/>
            </w:tcBorders>
            <w:shd w:val="clear" w:color="auto" w:fill="auto"/>
            <w:noWrap w:val="0"/>
            <w:vAlign w:val="center"/>
          </w:tcPr>
          <w:p w14:paraId="6F94873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710730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A1DB7A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EB6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50" w:type="pct"/>
            <w:tcBorders>
              <w:tl2br w:val="nil"/>
              <w:tr2bl w:val="nil"/>
            </w:tcBorders>
            <w:shd w:val="clear" w:color="FFFFFF" w:fill="auto"/>
            <w:noWrap w:val="0"/>
            <w:vAlign w:val="center"/>
          </w:tcPr>
          <w:p w14:paraId="00EA053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12</w:t>
            </w:r>
          </w:p>
        </w:tc>
        <w:tc>
          <w:tcPr>
            <w:tcW w:w="1666" w:type="pct"/>
            <w:tcBorders>
              <w:tl2br w:val="nil"/>
              <w:tr2bl w:val="nil"/>
            </w:tcBorders>
            <w:shd w:val="clear" w:color="auto" w:fill="auto"/>
            <w:noWrap w:val="0"/>
            <w:vAlign w:val="center"/>
          </w:tcPr>
          <w:p w14:paraId="505574D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腺苷脱氨酶（ADA）测定试剂盒（酶比色法）</w:t>
            </w:r>
          </w:p>
        </w:tc>
        <w:tc>
          <w:tcPr>
            <w:tcW w:w="982" w:type="pct"/>
            <w:vMerge w:val="continue"/>
            <w:tcBorders>
              <w:tl2br w:val="nil"/>
              <w:tr2bl w:val="nil"/>
            </w:tcBorders>
            <w:shd w:val="clear" w:color="auto" w:fill="auto"/>
            <w:noWrap w:val="0"/>
            <w:vAlign w:val="center"/>
          </w:tcPr>
          <w:p w14:paraId="2DDD875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8C7891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1B34B69">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048A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350" w:type="pct"/>
            <w:tcBorders>
              <w:tl2br w:val="nil"/>
              <w:tr2bl w:val="nil"/>
            </w:tcBorders>
            <w:shd w:val="clear" w:color="FFFFFF" w:fill="auto"/>
            <w:noWrap w:val="0"/>
            <w:vAlign w:val="center"/>
          </w:tcPr>
          <w:p w14:paraId="29DF976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13</w:t>
            </w:r>
          </w:p>
        </w:tc>
        <w:tc>
          <w:tcPr>
            <w:tcW w:w="1666" w:type="pct"/>
            <w:tcBorders>
              <w:tl2br w:val="nil"/>
              <w:tr2bl w:val="nil"/>
            </w:tcBorders>
            <w:shd w:val="clear" w:color="auto" w:fill="auto"/>
            <w:noWrap w:val="0"/>
            <w:vAlign w:val="center"/>
          </w:tcPr>
          <w:p w14:paraId="54F951A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5'-核苷酸酶（5'-NT）测定试剂盒（酶比色法）</w:t>
            </w:r>
          </w:p>
        </w:tc>
        <w:tc>
          <w:tcPr>
            <w:tcW w:w="982" w:type="pct"/>
            <w:vMerge w:val="continue"/>
            <w:tcBorders>
              <w:tl2br w:val="nil"/>
              <w:tr2bl w:val="nil"/>
            </w:tcBorders>
            <w:shd w:val="clear" w:color="auto" w:fill="auto"/>
            <w:noWrap w:val="0"/>
            <w:vAlign w:val="center"/>
          </w:tcPr>
          <w:p w14:paraId="6D80345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6825E7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3CF4327">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2EBE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50" w:type="pct"/>
            <w:tcBorders>
              <w:tl2br w:val="nil"/>
              <w:tr2bl w:val="nil"/>
            </w:tcBorders>
            <w:shd w:val="clear" w:color="FFFFFF" w:fill="auto"/>
            <w:noWrap w:val="0"/>
            <w:vAlign w:val="center"/>
          </w:tcPr>
          <w:p w14:paraId="4AF31AF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14</w:t>
            </w:r>
          </w:p>
        </w:tc>
        <w:tc>
          <w:tcPr>
            <w:tcW w:w="1666" w:type="pct"/>
            <w:tcBorders>
              <w:tl2br w:val="nil"/>
              <w:tr2bl w:val="nil"/>
            </w:tcBorders>
            <w:shd w:val="clear" w:color="auto" w:fill="auto"/>
            <w:noWrap w:val="0"/>
            <w:vAlign w:val="center"/>
          </w:tcPr>
          <w:p w14:paraId="73D607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肌酐（CREA）测定试剂盒（肌氨酸氧化酶法）</w:t>
            </w:r>
          </w:p>
        </w:tc>
        <w:tc>
          <w:tcPr>
            <w:tcW w:w="982" w:type="pct"/>
            <w:vMerge w:val="restart"/>
            <w:tcBorders>
              <w:tl2br w:val="nil"/>
              <w:tr2bl w:val="nil"/>
            </w:tcBorders>
            <w:shd w:val="clear" w:color="auto" w:fill="auto"/>
            <w:noWrap w:val="0"/>
            <w:vAlign w:val="center"/>
          </w:tcPr>
          <w:p w14:paraId="32E38B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主要用于肾脏功能检查</w:t>
            </w:r>
          </w:p>
        </w:tc>
        <w:tc>
          <w:tcPr>
            <w:tcW w:w="1141" w:type="pct"/>
            <w:vMerge w:val="continue"/>
            <w:tcBorders>
              <w:tl2br w:val="nil"/>
              <w:tr2bl w:val="nil"/>
            </w:tcBorders>
            <w:shd w:val="clear" w:color="auto" w:fill="auto"/>
            <w:noWrap w:val="0"/>
            <w:vAlign w:val="center"/>
          </w:tcPr>
          <w:p w14:paraId="6B94252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A350D8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5FA5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50" w:type="pct"/>
            <w:tcBorders>
              <w:tl2br w:val="nil"/>
              <w:tr2bl w:val="nil"/>
            </w:tcBorders>
            <w:shd w:val="clear" w:color="FFFFFF" w:fill="auto"/>
            <w:noWrap w:val="0"/>
            <w:vAlign w:val="center"/>
          </w:tcPr>
          <w:p w14:paraId="71DDC4E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15</w:t>
            </w:r>
          </w:p>
        </w:tc>
        <w:tc>
          <w:tcPr>
            <w:tcW w:w="1666" w:type="pct"/>
            <w:tcBorders>
              <w:tl2br w:val="nil"/>
              <w:tr2bl w:val="nil"/>
            </w:tcBorders>
            <w:shd w:val="clear" w:color="auto" w:fill="auto"/>
            <w:noWrap w:val="0"/>
            <w:vAlign w:val="center"/>
          </w:tcPr>
          <w:p w14:paraId="6BBA1C5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尿酸（UA）测定试剂盒（尿酸酶-过氧化物酶法）</w:t>
            </w:r>
          </w:p>
        </w:tc>
        <w:tc>
          <w:tcPr>
            <w:tcW w:w="982" w:type="pct"/>
            <w:vMerge w:val="continue"/>
            <w:tcBorders>
              <w:tl2br w:val="nil"/>
              <w:tr2bl w:val="nil"/>
            </w:tcBorders>
            <w:shd w:val="clear" w:color="auto" w:fill="auto"/>
            <w:noWrap w:val="0"/>
            <w:vAlign w:val="center"/>
          </w:tcPr>
          <w:p w14:paraId="597945D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C9DDA6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2DC6C9CD">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5086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50" w:type="pct"/>
            <w:tcBorders>
              <w:tl2br w:val="nil"/>
              <w:tr2bl w:val="nil"/>
            </w:tcBorders>
            <w:shd w:val="clear" w:color="FFFFFF" w:fill="auto"/>
            <w:noWrap w:val="0"/>
            <w:vAlign w:val="center"/>
          </w:tcPr>
          <w:p w14:paraId="38C86D4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16</w:t>
            </w:r>
          </w:p>
        </w:tc>
        <w:tc>
          <w:tcPr>
            <w:tcW w:w="1666" w:type="pct"/>
            <w:tcBorders>
              <w:tl2br w:val="nil"/>
              <w:tr2bl w:val="nil"/>
            </w:tcBorders>
            <w:shd w:val="clear" w:color="auto" w:fill="auto"/>
            <w:noWrap w:val="0"/>
            <w:vAlign w:val="center"/>
          </w:tcPr>
          <w:p w14:paraId="0E9E3F7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尿素（UREA）测定试剂盒（紫外-谷氨酸脱氢酶法）</w:t>
            </w:r>
          </w:p>
        </w:tc>
        <w:tc>
          <w:tcPr>
            <w:tcW w:w="982" w:type="pct"/>
            <w:vMerge w:val="continue"/>
            <w:tcBorders>
              <w:tl2br w:val="nil"/>
              <w:tr2bl w:val="nil"/>
            </w:tcBorders>
            <w:shd w:val="clear" w:color="auto" w:fill="auto"/>
            <w:noWrap w:val="0"/>
            <w:vAlign w:val="center"/>
          </w:tcPr>
          <w:p w14:paraId="2A8A032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2CF94F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72801193">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5CEC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50" w:type="pct"/>
            <w:tcBorders>
              <w:tl2br w:val="nil"/>
              <w:tr2bl w:val="nil"/>
            </w:tcBorders>
            <w:shd w:val="clear" w:color="FFFFFF" w:fill="auto"/>
            <w:noWrap w:val="0"/>
            <w:vAlign w:val="center"/>
          </w:tcPr>
          <w:p w14:paraId="5A38E66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17</w:t>
            </w:r>
          </w:p>
        </w:tc>
        <w:tc>
          <w:tcPr>
            <w:tcW w:w="1666" w:type="pct"/>
            <w:tcBorders>
              <w:tl2br w:val="nil"/>
              <w:tr2bl w:val="nil"/>
            </w:tcBorders>
            <w:shd w:val="clear" w:color="auto" w:fill="auto"/>
            <w:noWrap w:val="0"/>
            <w:vAlign w:val="center"/>
          </w:tcPr>
          <w:p w14:paraId="3F79D00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二氧化碳（CO2）测定试剂盒（酶法）</w:t>
            </w:r>
          </w:p>
        </w:tc>
        <w:tc>
          <w:tcPr>
            <w:tcW w:w="982" w:type="pct"/>
            <w:vMerge w:val="continue"/>
            <w:tcBorders>
              <w:tl2br w:val="nil"/>
              <w:tr2bl w:val="nil"/>
            </w:tcBorders>
            <w:shd w:val="clear" w:color="auto" w:fill="auto"/>
            <w:noWrap w:val="0"/>
            <w:vAlign w:val="center"/>
          </w:tcPr>
          <w:p w14:paraId="0869DB2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A3E488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1FD710F">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658A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50" w:type="pct"/>
            <w:tcBorders>
              <w:tl2br w:val="nil"/>
              <w:tr2bl w:val="nil"/>
            </w:tcBorders>
            <w:shd w:val="clear" w:color="FFFFFF" w:fill="auto"/>
            <w:noWrap w:val="0"/>
            <w:vAlign w:val="center"/>
          </w:tcPr>
          <w:p w14:paraId="3DC711F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18</w:t>
            </w:r>
          </w:p>
        </w:tc>
        <w:tc>
          <w:tcPr>
            <w:tcW w:w="1666" w:type="pct"/>
            <w:tcBorders>
              <w:tl2br w:val="nil"/>
              <w:tr2bl w:val="nil"/>
            </w:tcBorders>
            <w:shd w:val="clear" w:color="auto" w:fill="auto"/>
            <w:noWrap w:val="0"/>
            <w:vAlign w:val="center"/>
          </w:tcPr>
          <w:p w14:paraId="48DC90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胱抑素C（CysC）测定试剂盒（胶乳免疫比浊法）</w:t>
            </w:r>
          </w:p>
        </w:tc>
        <w:tc>
          <w:tcPr>
            <w:tcW w:w="982" w:type="pct"/>
            <w:vMerge w:val="continue"/>
            <w:tcBorders>
              <w:tl2br w:val="nil"/>
              <w:tr2bl w:val="nil"/>
            </w:tcBorders>
            <w:shd w:val="clear" w:color="auto" w:fill="auto"/>
            <w:noWrap w:val="0"/>
            <w:vAlign w:val="center"/>
          </w:tcPr>
          <w:p w14:paraId="503734D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64FD78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BE7439C">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0035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50" w:type="pct"/>
            <w:tcBorders>
              <w:tl2br w:val="nil"/>
              <w:tr2bl w:val="nil"/>
            </w:tcBorders>
            <w:shd w:val="clear" w:color="FFFFFF" w:fill="auto"/>
            <w:noWrap w:val="0"/>
            <w:vAlign w:val="center"/>
          </w:tcPr>
          <w:p w14:paraId="4D4BA37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19</w:t>
            </w:r>
          </w:p>
        </w:tc>
        <w:tc>
          <w:tcPr>
            <w:tcW w:w="1666" w:type="pct"/>
            <w:tcBorders>
              <w:tl2br w:val="nil"/>
              <w:tr2bl w:val="nil"/>
            </w:tcBorders>
            <w:shd w:val="clear" w:color="auto" w:fill="auto"/>
            <w:noWrap w:val="0"/>
            <w:vAlign w:val="center"/>
          </w:tcPr>
          <w:p w14:paraId="3616541A">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胱抑素C（CysC）测定试剂盒（胶乳免疫比浊法）</w:t>
            </w:r>
          </w:p>
        </w:tc>
        <w:tc>
          <w:tcPr>
            <w:tcW w:w="982" w:type="pct"/>
            <w:vMerge w:val="continue"/>
            <w:tcBorders>
              <w:tl2br w:val="nil"/>
              <w:tr2bl w:val="nil"/>
            </w:tcBorders>
            <w:shd w:val="clear" w:color="auto" w:fill="auto"/>
            <w:noWrap w:val="0"/>
            <w:vAlign w:val="center"/>
          </w:tcPr>
          <w:p w14:paraId="47ED9B5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A01381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0CE335E">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05FB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350" w:type="pct"/>
            <w:tcBorders>
              <w:tl2br w:val="nil"/>
              <w:tr2bl w:val="nil"/>
            </w:tcBorders>
            <w:shd w:val="clear" w:color="FFFFFF" w:fill="auto"/>
            <w:noWrap w:val="0"/>
            <w:vAlign w:val="center"/>
          </w:tcPr>
          <w:p w14:paraId="45671E0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20</w:t>
            </w:r>
          </w:p>
        </w:tc>
        <w:tc>
          <w:tcPr>
            <w:tcW w:w="1666" w:type="pct"/>
            <w:tcBorders>
              <w:tl2br w:val="nil"/>
              <w:tr2bl w:val="nil"/>
            </w:tcBorders>
            <w:shd w:val="clear" w:color="auto" w:fill="auto"/>
            <w:noWrap w:val="0"/>
            <w:vAlign w:val="center"/>
          </w:tcPr>
          <w:p w14:paraId="0C1A7EE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β2-微球蛋白（β2-MG）测定试剂盒（胶乳免疫比浊法）</w:t>
            </w:r>
          </w:p>
        </w:tc>
        <w:tc>
          <w:tcPr>
            <w:tcW w:w="982" w:type="pct"/>
            <w:vMerge w:val="continue"/>
            <w:tcBorders>
              <w:tl2br w:val="nil"/>
              <w:tr2bl w:val="nil"/>
            </w:tcBorders>
            <w:shd w:val="clear" w:color="auto" w:fill="auto"/>
            <w:noWrap w:val="0"/>
            <w:vAlign w:val="center"/>
          </w:tcPr>
          <w:p w14:paraId="21557B6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1BA4EB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4F7910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41E8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50" w:type="pct"/>
            <w:tcBorders>
              <w:tl2br w:val="nil"/>
              <w:tr2bl w:val="nil"/>
            </w:tcBorders>
            <w:shd w:val="clear" w:color="FFFFFF" w:fill="auto"/>
            <w:noWrap w:val="0"/>
            <w:vAlign w:val="center"/>
          </w:tcPr>
          <w:p w14:paraId="7BC0A80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21</w:t>
            </w:r>
          </w:p>
        </w:tc>
        <w:tc>
          <w:tcPr>
            <w:tcW w:w="1666" w:type="pct"/>
            <w:tcBorders>
              <w:tl2br w:val="nil"/>
              <w:tr2bl w:val="nil"/>
            </w:tcBorders>
            <w:shd w:val="clear" w:color="auto" w:fill="auto"/>
            <w:noWrap w:val="0"/>
            <w:vAlign w:val="center"/>
          </w:tcPr>
          <w:p w14:paraId="61FC4C4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尿/脑脊液总蛋白（TPUC）测定试剂盒（邻苯三酚红钼法）</w:t>
            </w:r>
          </w:p>
        </w:tc>
        <w:tc>
          <w:tcPr>
            <w:tcW w:w="982" w:type="pct"/>
            <w:vMerge w:val="continue"/>
            <w:tcBorders>
              <w:tl2br w:val="nil"/>
              <w:tr2bl w:val="nil"/>
            </w:tcBorders>
            <w:shd w:val="clear" w:color="auto" w:fill="auto"/>
            <w:noWrap w:val="0"/>
            <w:vAlign w:val="center"/>
          </w:tcPr>
          <w:p w14:paraId="7020EE5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AACF37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298E18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肾功集采</w:t>
            </w:r>
          </w:p>
        </w:tc>
      </w:tr>
      <w:tr w14:paraId="0046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50" w:type="pct"/>
            <w:tcBorders>
              <w:tl2br w:val="nil"/>
              <w:tr2bl w:val="nil"/>
            </w:tcBorders>
            <w:shd w:val="clear" w:color="FFFFFF" w:fill="auto"/>
            <w:noWrap w:val="0"/>
            <w:vAlign w:val="center"/>
          </w:tcPr>
          <w:p w14:paraId="1DC8929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22</w:t>
            </w:r>
          </w:p>
        </w:tc>
        <w:tc>
          <w:tcPr>
            <w:tcW w:w="1666" w:type="pct"/>
            <w:tcBorders>
              <w:tl2br w:val="nil"/>
              <w:tr2bl w:val="nil"/>
            </w:tcBorders>
            <w:shd w:val="clear" w:color="auto" w:fill="auto"/>
            <w:noWrap w:val="0"/>
            <w:vAlign w:val="center"/>
          </w:tcPr>
          <w:p w14:paraId="35DC216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总胆固醇（TC）测定试剂盒（氧化酶法）</w:t>
            </w:r>
          </w:p>
        </w:tc>
        <w:tc>
          <w:tcPr>
            <w:tcW w:w="982" w:type="pct"/>
            <w:vMerge w:val="restart"/>
            <w:tcBorders>
              <w:tl2br w:val="nil"/>
              <w:tr2bl w:val="nil"/>
            </w:tcBorders>
            <w:shd w:val="clear" w:color="FFFFFF" w:fill="auto"/>
            <w:noWrap w:val="0"/>
            <w:vAlign w:val="center"/>
          </w:tcPr>
          <w:p w14:paraId="5CF1016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主要用于血脂检查</w:t>
            </w:r>
          </w:p>
        </w:tc>
        <w:tc>
          <w:tcPr>
            <w:tcW w:w="1141" w:type="pct"/>
            <w:vMerge w:val="continue"/>
            <w:tcBorders>
              <w:tl2br w:val="nil"/>
              <w:tr2bl w:val="nil"/>
            </w:tcBorders>
            <w:shd w:val="clear" w:color="auto" w:fill="auto"/>
            <w:noWrap w:val="0"/>
            <w:vAlign w:val="center"/>
          </w:tcPr>
          <w:p w14:paraId="66AF74AA">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657F44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34E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350" w:type="pct"/>
            <w:tcBorders>
              <w:tl2br w:val="nil"/>
              <w:tr2bl w:val="nil"/>
            </w:tcBorders>
            <w:shd w:val="clear" w:color="FFFFFF" w:fill="auto"/>
            <w:noWrap w:val="0"/>
            <w:vAlign w:val="center"/>
          </w:tcPr>
          <w:p w14:paraId="4D71787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23</w:t>
            </w:r>
          </w:p>
        </w:tc>
        <w:tc>
          <w:tcPr>
            <w:tcW w:w="1666" w:type="pct"/>
            <w:tcBorders>
              <w:tl2br w:val="nil"/>
              <w:tr2bl w:val="nil"/>
            </w:tcBorders>
            <w:shd w:val="clear" w:color="auto" w:fill="auto"/>
            <w:noWrap w:val="0"/>
            <w:vAlign w:val="center"/>
          </w:tcPr>
          <w:p w14:paraId="45D13CF7">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甘油三酯（TG）测定试剂盒（氧化酶法）</w:t>
            </w:r>
          </w:p>
        </w:tc>
        <w:tc>
          <w:tcPr>
            <w:tcW w:w="982" w:type="pct"/>
            <w:vMerge w:val="continue"/>
            <w:tcBorders>
              <w:tl2br w:val="nil"/>
              <w:tr2bl w:val="nil"/>
            </w:tcBorders>
            <w:shd w:val="clear" w:color="FFFFFF" w:fill="auto"/>
            <w:noWrap w:val="0"/>
            <w:vAlign w:val="center"/>
          </w:tcPr>
          <w:p w14:paraId="5C2D0B0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1FBBEC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50450B5">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5F71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50" w:type="pct"/>
            <w:tcBorders>
              <w:tl2br w:val="nil"/>
              <w:tr2bl w:val="nil"/>
            </w:tcBorders>
            <w:shd w:val="clear" w:color="FFFFFF" w:fill="auto"/>
            <w:noWrap w:val="0"/>
            <w:vAlign w:val="center"/>
          </w:tcPr>
          <w:p w14:paraId="5ADBD4A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24</w:t>
            </w:r>
          </w:p>
        </w:tc>
        <w:tc>
          <w:tcPr>
            <w:tcW w:w="1666" w:type="pct"/>
            <w:tcBorders>
              <w:tl2br w:val="nil"/>
              <w:tr2bl w:val="nil"/>
            </w:tcBorders>
            <w:shd w:val="clear" w:color="auto" w:fill="auto"/>
            <w:noWrap w:val="0"/>
            <w:vAlign w:val="center"/>
          </w:tcPr>
          <w:p w14:paraId="38B005D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高密度脂蛋白胆固醇（HDL-C）测定试剂盒（直接法）</w:t>
            </w:r>
          </w:p>
        </w:tc>
        <w:tc>
          <w:tcPr>
            <w:tcW w:w="982" w:type="pct"/>
            <w:vMerge w:val="continue"/>
            <w:tcBorders>
              <w:tl2br w:val="nil"/>
              <w:tr2bl w:val="nil"/>
            </w:tcBorders>
            <w:shd w:val="clear" w:color="FFFFFF" w:fill="auto"/>
            <w:noWrap w:val="0"/>
            <w:vAlign w:val="center"/>
          </w:tcPr>
          <w:p w14:paraId="66F8B03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6F61B94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A293BE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303A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50" w:type="pct"/>
            <w:tcBorders>
              <w:tl2br w:val="nil"/>
              <w:tr2bl w:val="nil"/>
            </w:tcBorders>
            <w:shd w:val="clear" w:color="FFFFFF" w:fill="auto"/>
            <w:noWrap w:val="0"/>
            <w:vAlign w:val="center"/>
          </w:tcPr>
          <w:p w14:paraId="3CC0E05C">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25</w:t>
            </w:r>
          </w:p>
        </w:tc>
        <w:tc>
          <w:tcPr>
            <w:tcW w:w="1666" w:type="pct"/>
            <w:tcBorders>
              <w:tl2br w:val="nil"/>
              <w:tr2bl w:val="nil"/>
            </w:tcBorders>
            <w:shd w:val="clear" w:color="auto" w:fill="auto"/>
            <w:noWrap w:val="0"/>
            <w:vAlign w:val="center"/>
          </w:tcPr>
          <w:p w14:paraId="698075C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低密度脂蛋白胆固醇（LDL-C）测定试剂盒（直接法）</w:t>
            </w:r>
          </w:p>
        </w:tc>
        <w:tc>
          <w:tcPr>
            <w:tcW w:w="982" w:type="pct"/>
            <w:vMerge w:val="continue"/>
            <w:tcBorders>
              <w:tl2br w:val="nil"/>
              <w:tr2bl w:val="nil"/>
            </w:tcBorders>
            <w:shd w:val="clear" w:color="FFFFFF" w:fill="auto"/>
            <w:noWrap w:val="0"/>
            <w:vAlign w:val="center"/>
          </w:tcPr>
          <w:p w14:paraId="78B8CD55">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CD2A4A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C459F67">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2896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50" w:type="pct"/>
            <w:tcBorders>
              <w:tl2br w:val="nil"/>
              <w:tr2bl w:val="nil"/>
            </w:tcBorders>
            <w:shd w:val="clear" w:color="FFFFFF" w:fill="auto"/>
            <w:noWrap w:val="0"/>
            <w:vAlign w:val="center"/>
          </w:tcPr>
          <w:p w14:paraId="05950C1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26</w:t>
            </w:r>
          </w:p>
        </w:tc>
        <w:tc>
          <w:tcPr>
            <w:tcW w:w="1666" w:type="pct"/>
            <w:tcBorders>
              <w:tl2br w:val="nil"/>
              <w:tr2bl w:val="nil"/>
            </w:tcBorders>
            <w:shd w:val="clear" w:color="auto" w:fill="auto"/>
            <w:noWrap w:val="0"/>
            <w:vAlign w:val="center"/>
          </w:tcPr>
          <w:p w14:paraId="54485F1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载脂蛋白A1（ApoA1）测定试剂盒（免疫透射比浊法）</w:t>
            </w:r>
          </w:p>
        </w:tc>
        <w:tc>
          <w:tcPr>
            <w:tcW w:w="982" w:type="pct"/>
            <w:vMerge w:val="continue"/>
            <w:tcBorders>
              <w:tl2br w:val="nil"/>
              <w:tr2bl w:val="nil"/>
            </w:tcBorders>
            <w:shd w:val="clear" w:color="FFFFFF" w:fill="auto"/>
            <w:noWrap w:val="0"/>
            <w:vAlign w:val="center"/>
          </w:tcPr>
          <w:p w14:paraId="09DE0B8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EFE3AF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136C56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糖代谢集采（血脂）</w:t>
            </w:r>
          </w:p>
        </w:tc>
      </w:tr>
      <w:tr w14:paraId="3C4C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50" w:type="pct"/>
            <w:tcBorders>
              <w:tl2br w:val="nil"/>
              <w:tr2bl w:val="nil"/>
            </w:tcBorders>
            <w:shd w:val="clear" w:color="FFFFFF" w:fill="auto"/>
            <w:noWrap w:val="0"/>
            <w:vAlign w:val="center"/>
          </w:tcPr>
          <w:p w14:paraId="75DC67F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27</w:t>
            </w:r>
          </w:p>
        </w:tc>
        <w:tc>
          <w:tcPr>
            <w:tcW w:w="1666" w:type="pct"/>
            <w:tcBorders>
              <w:tl2br w:val="nil"/>
              <w:tr2bl w:val="nil"/>
            </w:tcBorders>
            <w:shd w:val="clear" w:color="auto" w:fill="auto"/>
            <w:noWrap w:val="0"/>
            <w:vAlign w:val="center"/>
          </w:tcPr>
          <w:p w14:paraId="0495DE8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载脂蛋白B（ApoB）测定试剂盒（免疫透射比浊法）</w:t>
            </w:r>
          </w:p>
        </w:tc>
        <w:tc>
          <w:tcPr>
            <w:tcW w:w="982" w:type="pct"/>
            <w:vMerge w:val="continue"/>
            <w:tcBorders>
              <w:tl2br w:val="nil"/>
              <w:tr2bl w:val="nil"/>
            </w:tcBorders>
            <w:shd w:val="clear" w:color="FFFFFF" w:fill="auto"/>
            <w:noWrap w:val="0"/>
            <w:vAlign w:val="center"/>
          </w:tcPr>
          <w:p w14:paraId="7A6F3BE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3F89599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26B0E49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糖代谢集采（血脂）</w:t>
            </w:r>
          </w:p>
        </w:tc>
      </w:tr>
      <w:tr w14:paraId="4D50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50" w:type="pct"/>
            <w:tcBorders>
              <w:tl2br w:val="nil"/>
              <w:tr2bl w:val="nil"/>
            </w:tcBorders>
            <w:shd w:val="clear" w:color="FFFFFF" w:fill="auto"/>
            <w:noWrap w:val="0"/>
            <w:vAlign w:val="center"/>
          </w:tcPr>
          <w:p w14:paraId="0A1E8D8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28</w:t>
            </w:r>
          </w:p>
        </w:tc>
        <w:tc>
          <w:tcPr>
            <w:tcW w:w="1666" w:type="pct"/>
            <w:tcBorders>
              <w:tl2br w:val="nil"/>
              <w:tr2bl w:val="nil"/>
            </w:tcBorders>
            <w:shd w:val="clear" w:color="auto" w:fill="auto"/>
            <w:noWrap w:val="0"/>
            <w:vAlign w:val="center"/>
          </w:tcPr>
          <w:p w14:paraId="4C6543C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脂蛋白（a）[Lp（a）]测定试剂盒（胶乳免疫比浊法）</w:t>
            </w:r>
          </w:p>
        </w:tc>
        <w:tc>
          <w:tcPr>
            <w:tcW w:w="982" w:type="pct"/>
            <w:vMerge w:val="continue"/>
            <w:tcBorders>
              <w:tl2br w:val="nil"/>
              <w:tr2bl w:val="nil"/>
            </w:tcBorders>
            <w:shd w:val="clear" w:color="FFFFFF" w:fill="auto"/>
            <w:noWrap w:val="0"/>
            <w:vAlign w:val="center"/>
          </w:tcPr>
          <w:p w14:paraId="6C60C98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456F652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894752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糖代谢集采（血脂）</w:t>
            </w:r>
          </w:p>
        </w:tc>
      </w:tr>
      <w:tr w14:paraId="09A9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50" w:type="pct"/>
            <w:tcBorders>
              <w:tl2br w:val="nil"/>
              <w:tr2bl w:val="nil"/>
            </w:tcBorders>
            <w:shd w:val="clear" w:color="FFFFFF" w:fill="auto"/>
            <w:noWrap w:val="0"/>
            <w:vAlign w:val="center"/>
          </w:tcPr>
          <w:p w14:paraId="3F2B5D1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29</w:t>
            </w:r>
          </w:p>
        </w:tc>
        <w:tc>
          <w:tcPr>
            <w:tcW w:w="1666" w:type="pct"/>
            <w:tcBorders>
              <w:tl2br w:val="nil"/>
              <w:tr2bl w:val="nil"/>
            </w:tcBorders>
            <w:shd w:val="clear" w:color="auto" w:fill="auto"/>
            <w:noWrap w:val="0"/>
            <w:vAlign w:val="center"/>
          </w:tcPr>
          <w:p w14:paraId="37B2FBB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同型半胱氨酸（HCY）测定试剂盒（酶循环法）</w:t>
            </w:r>
          </w:p>
        </w:tc>
        <w:tc>
          <w:tcPr>
            <w:tcW w:w="982" w:type="pct"/>
            <w:tcBorders>
              <w:tl2br w:val="nil"/>
              <w:tr2bl w:val="nil"/>
            </w:tcBorders>
            <w:shd w:val="clear" w:color="FFFFFF" w:fill="auto"/>
            <w:noWrap w:val="0"/>
            <w:vAlign w:val="center"/>
          </w:tcPr>
          <w:p w14:paraId="0DB9740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主要用于心脑血管风险评估</w:t>
            </w:r>
          </w:p>
        </w:tc>
        <w:tc>
          <w:tcPr>
            <w:tcW w:w="1141" w:type="pct"/>
            <w:vMerge w:val="continue"/>
            <w:tcBorders>
              <w:tl2br w:val="nil"/>
              <w:tr2bl w:val="nil"/>
            </w:tcBorders>
            <w:shd w:val="clear" w:color="auto" w:fill="auto"/>
            <w:noWrap w:val="0"/>
            <w:vAlign w:val="center"/>
          </w:tcPr>
          <w:p w14:paraId="5B0E221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025EA5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心肌集采（血脂）</w:t>
            </w:r>
          </w:p>
        </w:tc>
      </w:tr>
      <w:tr w14:paraId="602E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50" w:type="pct"/>
            <w:tcBorders>
              <w:tl2br w:val="nil"/>
              <w:tr2bl w:val="nil"/>
            </w:tcBorders>
            <w:shd w:val="clear" w:color="FFFFFF" w:fill="auto"/>
            <w:noWrap w:val="0"/>
            <w:vAlign w:val="center"/>
          </w:tcPr>
          <w:p w14:paraId="2265490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30</w:t>
            </w:r>
          </w:p>
        </w:tc>
        <w:tc>
          <w:tcPr>
            <w:tcW w:w="1666" w:type="pct"/>
            <w:tcBorders>
              <w:tl2br w:val="nil"/>
              <w:tr2bl w:val="nil"/>
            </w:tcBorders>
            <w:shd w:val="clear" w:color="auto" w:fill="auto"/>
            <w:noWrap w:val="0"/>
            <w:vAlign w:val="center"/>
          </w:tcPr>
          <w:p w14:paraId="5FA7634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乳酸脱氢酶（LDH）测定试剂盒（IFCC法）</w:t>
            </w:r>
          </w:p>
        </w:tc>
        <w:tc>
          <w:tcPr>
            <w:tcW w:w="982" w:type="pct"/>
            <w:vMerge w:val="restart"/>
            <w:tcBorders>
              <w:tl2br w:val="nil"/>
              <w:tr2bl w:val="nil"/>
            </w:tcBorders>
            <w:shd w:val="clear" w:color="FFFFFF" w:fill="auto"/>
            <w:noWrap w:val="0"/>
            <w:vAlign w:val="center"/>
          </w:tcPr>
          <w:p w14:paraId="3724C84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主要用于心肌功能检查</w:t>
            </w:r>
          </w:p>
        </w:tc>
        <w:tc>
          <w:tcPr>
            <w:tcW w:w="1141" w:type="pct"/>
            <w:vMerge w:val="continue"/>
            <w:tcBorders>
              <w:tl2br w:val="nil"/>
              <w:tr2bl w:val="nil"/>
            </w:tcBorders>
            <w:shd w:val="clear" w:color="auto" w:fill="auto"/>
            <w:noWrap w:val="0"/>
            <w:vAlign w:val="center"/>
          </w:tcPr>
          <w:p w14:paraId="51D6D38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5198F69">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肝功生化集采带量</w:t>
            </w:r>
          </w:p>
        </w:tc>
      </w:tr>
      <w:tr w14:paraId="77CA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350" w:type="pct"/>
            <w:tcBorders>
              <w:tl2br w:val="nil"/>
              <w:tr2bl w:val="nil"/>
            </w:tcBorders>
            <w:shd w:val="clear" w:color="FFFFFF" w:fill="auto"/>
            <w:noWrap w:val="0"/>
            <w:vAlign w:val="center"/>
          </w:tcPr>
          <w:p w14:paraId="14E1CC0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31</w:t>
            </w:r>
          </w:p>
        </w:tc>
        <w:tc>
          <w:tcPr>
            <w:tcW w:w="1666" w:type="pct"/>
            <w:tcBorders>
              <w:tl2br w:val="nil"/>
              <w:tr2bl w:val="nil"/>
            </w:tcBorders>
            <w:shd w:val="clear" w:color="auto" w:fill="auto"/>
            <w:noWrap w:val="0"/>
            <w:vAlign w:val="center"/>
          </w:tcPr>
          <w:p w14:paraId="6AB088A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α-羟丁酸脱氢酶（α-HBDH）测定试剂盒（DGKC法）</w:t>
            </w:r>
          </w:p>
        </w:tc>
        <w:tc>
          <w:tcPr>
            <w:tcW w:w="982" w:type="pct"/>
            <w:vMerge w:val="continue"/>
            <w:tcBorders>
              <w:tl2br w:val="nil"/>
              <w:tr2bl w:val="nil"/>
            </w:tcBorders>
            <w:shd w:val="clear" w:color="FFFFFF" w:fill="auto"/>
            <w:noWrap w:val="0"/>
            <w:vAlign w:val="center"/>
          </w:tcPr>
          <w:p w14:paraId="57EEF21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1E9E0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705EFE75">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w:t>
            </w:r>
          </w:p>
        </w:tc>
      </w:tr>
      <w:tr w14:paraId="0E3F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50" w:type="pct"/>
            <w:tcBorders>
              <w:tl2br w:val="nil"/>
              <w:tr2bl w:val="nil"/>
            </w:tcBorders>
            <w:shd w:val="clear" w:color="FFFFFF" w:fill="auto"/>
            <w:noWrap w:val="0"/>
            <w:vAlign w:val="center"/>
          </w:tcPr>
          <w:p w14:paraId="6BFBB9D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32</w:t>
            </w:r>
          </w:p>
        </w:tc>
        <w:tc>
          <w:tcPr>
            <w:tcW w:w="1666" w:type="pct"/>
            <w:tcBorders>
              <w:tl2br w:val="nil"/>
              <w:tr2bl w:val="nil"/>
            </w:tcBorders>
            <w:shd w:val="clear" w:color="auto" w:fill="auto"/>
            <w:noWrap w:val="0"/>
            <w:vAlign w:val="center"/>
          </w:tcPr>
          <w:p w14:paraId="22917B0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肌酸激酶（CK）测定试剂盒（IFCC法）</w:t>
            </w:r>
          </w:p>
        </w:tc>
        <w:tc>
          <w:tcPr>
            <w:tcW w:w="982" w:type="pct"/>
            <w:vMerge w:val="continue"/>
            <w:tcBorders>
              <w:tl2br w:val="nil"/>
              <w:tr2bl w:val="nil"/>
            </w:tcBorders>
            <w:shd w:val="clear" w:color="FFFFFF" w:fill="auto"/>
            <w:noWrap w:val="0"/>
            <w:vAlign w:val="center"/>
          </w:tcPr>
          <w:p w14:paraId="522A967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197EBA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9B37EDC">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w:t>
            </w:r>
          </w:p>
        </w:tc>
      </w:tr>
      <w:tr w14:paraId="269AB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5C5B30F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33</w:t>
            </w:r>
          </w:p>
        </w:tc>
        <w:tc>
          <w:tcPr>
            <w:tcW w:w="1666" w:type="pct"/>
            <w:tcBorders>
              <w:tl2br w:val="nil"/>
              <w:tr2bl w:val="nil"/>
            </w:tcBorders>
            <w:shd w:val="clear" w:color="auto" w:fill="auto"/>
            <w:noWrap w:val="0"/>
            <w:vAlign w:val="center"/>
          </w:tcPr>
          <w:p w14:paraId="4C3A2F4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肌酸激酶MB型同工酶（CK-MB）测定试剂盒（免疫抑制法）</w:t>
            </w:r>
          </w:p>
        </w:tc>
        <w:tc>
          <w:tcPr>
            <w:tcW w:w="982" w:type="pct"/>
            <w:vMerge w:val="continue"/>
            <w:tcBorders>
              <w:tl2br w:val="nil"/>
              <w:tr2bl w:val="nil"/>
            </w:tcBorders>
            <w:shd w:val="clear" w:color="FFFFFF" w:fill="auto"/>
            <w:noWrap w:val="0"/>
            <w:vAlign w:val="center"/>
          </w:tcPr>
          <w:p w14:paraId="10756BEA">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FD4DE7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4DA0D4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心肌集采</w:t>
            </w:r>
          </w:p>
        </w:tc>
      </w:tr>
      <w:tr w14:paraId="4D06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0146F8D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34</w:t>
            </w:r>
          </w:p>
        </w:tc>
        <w:tc>
          <w:tcPr>
            <w:tcW w:w="1666" w:type="pct"/>
            <w:tcBorders>
              <w:tl2br w:val="nil"/>
              <w:tr2bl w:val="nil"/>
            </w:tcBorders>
            <w:shd w:val="clear" w:color="auto" w:fill="auto"/>
            <w:noWrap w:val="0"/>
            <w:vAlign w:val="center"/>
          </w:tcPr>
          <w:p w14:paraId="7A3F659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葡萄糖(Glu)测定试剂盒（葡萄糖氧化酶法）</w:t>
            </w:r>
          </w:p>
        </w:tc>
        <w:tc>
          <w:tcPr>
            <w:tcW w:w="982" w:type="pct"/>
            <w:vMerge w:val="restart"/>
            <w:tcBorders>
              <w:tl2br w:val="nil"/>
              <w:tr2bl w:val="nil"/>
            </w:tcBorders>
            <w:shd w:val="clear" w:color="FFFFFF" w:fill="auto"/>
            <w:noWrap w:val="0"/>
            <w:vAlign w:val="center"/>
          </w:tcPr>
          <w:p w14:paraId="445FA49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主要用于血糖水平的监测</w:t>
            </w:r>
          </w:p>
        </w:tc>
        <w:tc>
          <w:tcPr>
            <w:tcW w:w="1141" w:type="pct"/>
            <w:vMerge w:val="continue"/>
            <w:tcBorders>
              <w:tl2br w:val="nil"/>
              <w:tr2bl w:val="nil"/>
            </w:tcBorders>
            <w:shd w:val="clear" w:color="auto" w:fill="auto"/>
            <w:noWrap w:val="0"/>
            <w:vAlign w:val="center"/>
          </w:tcPr>
          <w:p w14:paraId="6E812F5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9617C3D">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w:t>
            </w:r>
          </w:p>
        </w:tc>
      </w:tr>
      <w:tr w14:paraId="5DBFA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50" w:type="pct"/>
            <w:tcBorders>
              <w:tl2br w:val="nil"/>
              <w:tr2bl w:val="nil"/>
            </w:tcBorders>
            <w:shd w:val="clear" w:color="FFFFFF" w:fill="auto"/>
            <w:noWrap w:val="0"/>
            <w:vAlign w:val="center"/>
          </w:tcPr>
          <w:p w14:paraId="3A031FB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35</w:t>
            </w:r>
          </w:p>
        </w:tc>
        <w:tc>
          <w:tcPr>
            <w:tcW w:w="1666" w:type="pct"/>
            <w:tcBorders>
              <w:tl2br w:val="nil"/>
              <w:tr2bl w:val="nil"/>
            </w:tcBorders>
            <w:shd w:val="clear" w:color="auto" w:fill="auto"/>
            <w:noWrap w:val="0"/>
            <w:vAlign w:val="center"/>
          </w:tcPr>
          <w:p w14:paraId="7E8739D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葡萄糖（Glu)测定试剂盒（己糖激酶法）</w:t>
            </w:r>
          </w:p>
        </w:tc>
        <w:tc>
          <w:tcPr>
            <w:tcW w:w="982" w:type="pct"/>
            <w:vMerge w:val="continue"/>
            <w:tcBorders>
              <w:tl2br w:val="nil"/>
              <w:tr2bl w:val="nil"/>
            </w:tcBorders>
            <w:shd w:val="clear" w:color="FFFFFF" w:fill="auto"/>
            <w:noWrap w:val="0"/>
            <w:vAlign w:val="center"/>
          </w:tcPr>
          <w:p w14:paraId="2633C1E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FD571D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06D76268">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w:t>
            </w:r>
          </w:p>
        </w:tc>
      </w:tr>
      <w:tr w14:paraId="7D48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50" w:type="pct"/>
            <w:tcBorders>
              <w:tl2br w:val="nil"/>
              <w:tr2bl w:val="nil"/>
            </w:tcBorders>
            <w:shd w:val="clear" w:color="FFFFFF" w:fill="auto"/>
            <w:noWrap w:val="0"/>
            <w:vAlign w:val="center"/>
          </w:tcPr>
          <w:p w14:paraId="0C98915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36</w:t>
            </w:r>
          </w:p>
        </w:tc>
        <w:tc>
          <w:tcPr>
            <w:tcW w:w="1666" w:type="pct"/>
            <w:tcBorders>
              <w:tl2br w:val="nil"/>
              <w:tr2bl w:val="nil"/>
            </w:tcBorders>
            <w:shd w:val="clear" w:color="auto" w:fill="auto"/>
            <w:noWrap w:val="0"/>
            <w:vAlign w:val="center"/>
          </w:tcPr>
          <w:p w14:paraId="4AFE405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果糖胺（FUN）测定试剂盒（比色法）</w:t>
            </w:r>
          </w:p>
        </w:tc>
        <w:tc>
          <w:tcPr>
            <w:tcW w:w="982" w:type="pct"/>
            <w:vMerge w:val="continue"/>
            <w:tcBorders>
              <w:tl2br w:val="nil"/>
              <w:tr2bl w:val="nil"/>
            </w:tcBorders>
            <w:shd w:val="clear" w:color="FFFFFF" w:fill="auto"/>
            <w:noWrap w:val="0"/>
            <w:vAlign w:val="center"/>
          </w:tcPr>
          <w:p w14:paraId="19B5EDBC">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7D701D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5A9F5ECA">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w:t>
            </w:r>
          </w:p>
        </w:tc>
      </w:tr>
      <w:tr w14:paraId="4D5F7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50" w:type="pct"/>
            <w:tcBorders>
              <w:tl2br w:val="nil"/>
              <w:tr2bl w:val="nil"/>
            </w:tcBorders>
            <w:shd w:val="clear" w:color="FFFFFF" w:fill="auto"/>
            <w:noWrap w:val="0"/>
            <w:vAlign w:val="center"/>
          </w:tcPr>
          <w:p w14:paraId="6D3C970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37</w:t>
            </w:r>
          </w:p>
        </w:tc>
        <w:tc>
          <w:tcPr>
            <w:tcW w:w="1666" w:type="pct"/>
            <w:tcBorders>
              <w:tl2br w:val="nil"/>
              <w:tr2bl w:val="nil"/>
            </w:tcBorders>
            <w:shd w:val="clear" w:color="auto" w:fill="auto"/>
            <w:noWrap w:val="0"/>
            <w:vAlign w:val="center"/>
          </w:tcPr>
          <w:p w14:paraId="59C2768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α—淀粉酶（α—AMY）测定试剂盒（连续监测法）</w:t>
            </w:r>
          </w:p>
        </w:tc>
        <w:tc>
          <w:tcPr>
            <w:tcW w:w="982" w:type="pct"/>
            <w:vMerge w:val="restart"/>
            <w:tcBorders>
              <w:tl2br w:val="nil"/>
              <w:tr2bl w:val="nil"/>
            </w:tcBorders>
            <w:shd w:val="clear" w:color="FFFFFF" w:fill="auto"/>
            <w:noWrap w:val="0"/>
            <w:vAlign w:val="center"/>
          </w:tcPr>
          <w:p w14:paraId="66ACA81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主要用于胰腺功能的检查</w:t>
            </w:r>
          </w:p>
        </w:tc>
        <w:tc>
          <w:tcPr>
            <w:tcW w:w="1141" w:type="pct"/>
            <w:vMerge w:val="continue"/>
            <w:tcBorders>
              <w:tl2br w:val="nil"/>
              <w:tr2bl w:val="nil"/>
            </w:tcBorders>
            <w:shd w:val="clear" w:color="auto" w:fill="auto"/>
            <w:noWrap w:val="0"/>
            <w:vAlign w:val="center"/>
          </w:tcPr>
          <w:p w14:paraId="0AE2A33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177727A4">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糖代谢集采（胰腺）</w:t>
            </w:r>
          </w:p>
        </w:tc>
      </w:tr>
      <w:tr w14:paraId="1714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350" w:type="pct"/>
            <w:tcBorders>
              <w:tl2br w:val="nil"/>
              <w:tr2bl w:val="nil"/>
            </w:tcBorders>
            <w:shd w:val="clear" w:color="FFFFFF" w:fill="auto"/>
            <w:noWrap w:val="0"/>
            <w:vAlign w:val="center"/>
          </w:tcPr>
          <w:p w14:paraId="2B64851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38</w:t>
            </w:r>
          </w:p>
        </w:tc>
        <w:tc>
          <w:tcPr>
            <w:tcW w:w="1666" w:type="pct"/>
            <w:tcBorders>
              <w:tl2br w:val="nil"/>
              <w:tr2bl w:val="nil"/>
            </w:tcBorders>
            <w:shd w:val="clear" w:color="auto" w:fill="auto"/>
            <w:noWrap w:val="0"/>
            <w:vAlign w:val="center"/>
          </w:tcPr>
          <w:p w14:paraId="52EEBE6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脂肪酶（LIP）测定试剂盒（酶显色法）</w:t>
            </w:r>
          </w:p>
        </w:tc>
        <w:tc>
          <w:tcPr>
            <w:tcW w:w="982" w:type="pct"/>
            <w:vMerge w:val="continue"/>
            <w:tcBorders>
              <w:tl2br w:val="nil"/>
              <w:tr2bl w:val="nil"/>
            </w:tcBorders>
            <w:shd w:val="clear" w:color="FFFFFF" w:fill="auto"/>
            <w:noWrap w:val="0"/>
            <w:vAlign w:val="center"/>
          </w:tcPr>
          <w:p w14:paraId="309E5FB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738BBB9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3768A33E">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糖代谢集采(胰腺)</w:t>
            </w:r>
          </w:p>
        </w:tc>
      </w:tr>
      <w:tr w14:paraId="5807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350" w:type="pct"/>
            <w:tcBorders>
              <w:tl2br w:val="nil"/>
              <w:tr2bl w:val="nil"/>
            </w:tcBorders>
            <w:shd w:val="clear" w:color="FFFFFF" w:fill="auto"/>
            <w:noWrap w:val="0"/>
            <w:vAlign w:val="center"/>
          </w:tcPr>
          <w:p w14:paraId="49116F3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39</w:t>
            </w:r>
          </w:p>
        </w:tc>
        <w:tc>
          <w:tcPr>
            <w:tcW w:w="1666" w:type="pct"/>
            <w:tcBorders>
              <w:tl2br w:val="nil"/>
              <w:tr2bl w:val="nil"/>
            </w:tcBorders>
            <w:shd w:val="clear" w:color="auto" w:fill="auto"/>
            <w:noWrap w:val="0"/>
            <w:vAlign w:val="center"/>
          </w:tcPr>
          <w:p w14:paraId="0C8BFE78">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钙（Ca）测定试剂盒（偶氮胂III法）</w:t>
            </w:r>
          </w:p>
        </w:tc>
        <w:tc>
          <w:tcPr>
            <w:tcW w:w="982" w:type="pct"/>
            <w:vMerge w:val="restart"/>
            <w:tcBorders>
              <w:tl2br w:val="nil"/>
              <w:tr2bl w:val="nil"/>
            </w:tcBorders>
            <w:shd w:val="clear" w:color="FFFFFF" w:fill="auto"/>
            <w:noWrap w:val="0"/>
            <w:vAlign w:val="center"/>
          </w:tcPr>
          <w:p w14:paraId="3BA735C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主要用于血液中无机元素含量的测定</w:t>
            </w:r>
          </w:p>
        </w:tc>
        <w:tc>
          <w:tcPr>
            <w:tcW w:w="1141" w:type="pct"/>
            <w:vMerge w:val="continue"/>
            <w:tcBorders>
              <w:tl2br w:val="nil"/>
              <w:tr2bl w:val="nil"/>
            </w:tcBorders>
            <w:shd w:val="clear" w:color="auto" w:fill="auto"/>
            <w:noWrap w:val="0"/>
            <w:vAlign w:val="center"/>
          </w:tcPr>
          <w:p w14:paraId="1F1889E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4352C202">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r w14:paraId="73E8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350" w:type="pct"/>
            <w:tcBorders>
              <w:tl2br w:val="nil"/>
              <w:tr2bl w:val="nil"/>
            </w:tcBorders>
            <w:shd w:val="clear" w:color="FFFFFF" w:fill="auto"/>
            <w:noWrap w:val="0"/>
            <w:vAlign w:val="center"/>
          </w:tcPr>
          <w:p w14:paraId="3F4335F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40</w:t>
            </w:r>
          </w:p>
        </w:tc>
        <w:tc>
          <w:tcPr>
            <w:tcW w:w="1666" w:type="pct"/>
            <w:tcBorders>
              <w:tl2br w:val="nil"/>
              <w:tr2bl w:val="nil"/>
            </w:tcBorders>
            <w:shd w:val="clear" w:color="auto" w:fill="auto"/>
            <w:noWrap w:val="0"/>
            <w:vAlign w:val="center"/>
          </w:tcPr>
          <w:p w14:paraId="2288B8C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无机磷（P)测定试剂盒（磷钼酸法）</w:t>
            </w:r>
          </w:p>
        </w:tc>
        <w:tc>
          <w:tcPr>
            <w:tcW w:w="982" w:type="pct"/>
            <w:vMerge w:val="continue"/>
            <w:tcBorders>
              <w:tl2br w:val="nil"/>
              <w:tr2bl w:val="nil"/>
            </w:tcBorders>
            <w:shd w:val="clear" w:color="FFFFFF" w:fill="auto"/>
            <w:noWrap w:val="0"/>
            <w:vAlign w:val="center"/>
          </w:tcPr>
          <w:p w14:paraId="4F9CE73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A84E04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68F21A1">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r w14:paraId="1A3E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350" w:type="pct"/>
            <w:tcBorders>
              <w:tl2br w:val="nil"/>
              <w:tr2bl w:val="nil"/>
            </w:tcBorders>
            <w:shd w:val="clear" w:color="FFFFFF" w:fill="auto"/>
            <w:noWrap w:val="0"/>
            <w:vAlign w:val="center"/>
          </w:tcPr>
          <w:p w14:paraId="0E417BA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41</w:t>
            </w:r>
          </w:p>
        </w:tc>
        <w:tc>
          <w:tcPr>
            <w:tcW w:w="1666" w:type="pct"/>
            <w:tcBorders>
              <w:tl2br w:val="nil"/>
              <w:tr2bl w:val="nil"/>
            </w:tcBorders>
            <w:shd w:val="clear" w:color="auto" w:fill="auto"/>
            <w:noWrap w:val="0"/>
            <w:vAlign w:val="center"/>
          </w:tcPr>
          <w:p w14:paraId="0DAF231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镁（Mg）测定试剂盒（二甲苯胺蓝法）</w:t>
            </w:r>
          </w:p>
        </w:tc>
        <w:tc>
          <w:tcPr>
            <w:tcW w:w="982" w:type="pct"/>
            <w:vMerge w:val="continue"/>
            <w:tcBorders>
              <w:tl2br w:val="nil"/>
              <w:tr2bl w:val="nil"/>
            </w:tcBorders>
            <w:shd w:val="clear" w:color="FFFFFF" w:fill="auto"/>
            <w:noWrap w:val="0"/>
            <w:vAlign w:val="center"/>
          </w:tcPr>
          <w:p w14:paraId="0B2FC3D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0B8651C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F3A615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r w14:paraId="34FB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50" w:type="pct"/>
            <w:tcBorders>
              <w:tl2br w:val="nil"/>
              <w:tr2bl w:val="nil"/>
            </w:tcBorders>
            <w:shd w:val="clear" w:color="FFFFFF" w:fill="auto"/>
            <w:noWrap w:val="0"/>
            <w:vAlign w:val="center"/>
          </w:tcPr>
          <w:p w14:paraId="6818F2E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42</w:t>
            </w:r>
          </w:p>
        </w:tc>
        <w:tc>
          <w:tcPr>
            <w:tcW w:w="1666" w:type="pct"/>
            <w:tcBorders>
              <w:tl2br w:val="nil"/>
              <w:tr2bl w:val="nil"/>
            </w:tcBorders>
            <w:shd w:val="clear" w:color="auto" w:fill="auto"/>
            <w:noWrap w:val="0"/>
            <w:vAlign w:val="center"/>
          </w:tcPr>
          <w:p w14:paraId="48C506B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铁（Fe）测定试剂盒（比色法）</w:t>
            </w:r>
          </w:p>
        </w:tc>
        <w:tc>
          <w:tcPr>
            <w:tcW w:w="982" w:type="pct"/>
            <w:vMerge w:val="continue"/>
            <w:tcBorders>
              <w:tl2br w:val="nil"/>
              <w:tr2bl w:val="nil"/>
            </w:tcBorders>
            <w:shd w:val="clear" w:color="FFFFFF" w:fill="auto"/>
            <w:noWrap w:val="0"/>
            <w:vAlign w:val="center"/>
          </w:tcPr>
          <w:p w14:paraId="5AE8199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3C541B7A">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solid" w:color="99CC00" w:fill="auto"/>
            <w:noWrap w:val="0"/>
            <w:vAlign w:val="center"/>
          </w:tcPr>
          <w:p w14:paraId="673DF2D0">
            <w:pPr>
              <w:spacing w:beforeLines="0" w:afterLine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糖代谢集采（离子及贫血）</w:t>
            </w:r>
          </w:p>
        </w:tc>
      </w:tr>
    </w:tbl>
    <w:p w14:paraId="40AD1433">
      <w:pPr>
        <w:rPr>
          <w:rFonts w:hint="eastAsia" w:asciiTheme="minorEastAsia" w:hAnsiTheme="minorEastAsia" w:eastAsiaTheme="minorEastAsia" w:cstheme="minorEastAsia"/>
          <w:sz w:val="21"/>
          <w:szCs w:val="21"/>
          <w:lang w:val="en-US" w:eastAsia="zh-CN"/>
        </w:rPr>
      </w:pPr>
    </w:p>
    <w:p w14:paraId="20E8DCDF">
      <w:pPr>
        <w:pStyle w:val="5"/>
        <w:rPr>
          <w:rFonts w:hint="eastAsia"/>
          <w:lang w:val="en-US" w:eastAsia="zh-CN"/>
        </w:rPr>
      </w:pPr>
    </w:p>
    <w:p w14:paraId="4A641BC0">
      <w:pPr>
        <w:rPr>
          <w:rFonts w:hint="eastAsia"/>
          <w:lang w:val="en-US" w:eastAsia="zh-CN"/>
        </w:rPr>
      </w:pPr>
    </w:p>
    <w:p w14:paraId="6DC260FC">
      <w:pPr>
        <w:rPr>
          <w:rFonts w:hint="eastAsia"/>
          <w:lang w:val="en-US" w:eastAsia="zh-CN"/>
        </w:rPr>
      </w:pPr>
    </w:p>
    <w:p w14:paraId="6CF5AC9F">
      <w:pPr>
        <w:rPr>
          <w:rFonts w:hint="eastAsia"/>
          <w:lang w:val="en-US" w:eastAsia="zh-CN"/>
        </w:rPr>
      </w:pPr>
    </w:p>
    <w:p w14:paraId="7989C06C">
      <w:pPr>
        <w:rPr>
          <w:rFonts w:hint="eastAsia"/>
          <w:lang w:val="en-US" w:eastAsia="zh-CN"/>
        </w:rPr>
      </w:pPr>
    </w:p>
    <w:p w14:paraId="14D205B1">
      <w:pPr>
        <w:rPr>
          <w:rFonts w:hint="eastAsia"/>
          <w:lang w:val="en-US" w:eastAsia="zh-CN"/>
        </w:rPr>
      </w:pPr>
    </w:p>
    <w:p w14:paraId="1C2E81D5">
      <w:pPr>
        <w:rPr>
          <w:rFonts w:hint="eastAsia"/>
          <w:lang w:val="en-US" w:eastAsia="zh-CN"/>
        </w:rPr>
      </w:pPr>
    </w:p>
    <w:p w14:paraId="1E96A26A">
      <w:pPr>
        <w:rPr>
          <w:rFonts w:hint="eastAsia"/>
          <w:lang w:val="en-US" w:eastAsia="zh-CN"/>
        </w:rPr>
      </w:pPr>
    </w:p>
    <w:p w14:paraId="6F78EB59">
      <w:pPr>
        <w:rPr>
          <w:rFonts w:hint="eastAsia"/>
          <w:lang w:val="en-US" w:eastAsia="zh-CN"/>
        </w:rPr>
      </w:pPr>
    </w:p>
    <w:p w14:paraId="67F5C184">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4：生化类试剂（非集采）</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3115"/>
        <w:gridCol w:w="1892"/>
        <w:gridCol w:w="2198"/>
        <w:gridCol w:w="1655"/>
      </w:tblGrid>
      <w:tr w14:paraId="2714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399" w:type="pct"/>
            <w:tcBorders>
              <w:tl2br w:val="nil"/>
              <w:tr2bl w:val="nil"/>
            </w:tcBorders>
            <w:noWrap w:val="0"/>
            <w:vAlign w:val="center"/>
          </w:tcPr>
          <w:p w14:paraId="177FE3D6">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序号</w:t>
            </w:r>
          </w:p>
        </w:tc>
        <w:tc>
          <w:tcPr>
            <w:tcW w:w="1617" w:type="pct"/>
            <w:tcBorders>
              <w:tl2br w:val="nil"/>
              <w:tr2bl w:val="nil"/>
            </w:tcBorders>
            <w:noWrap w:val="0"/>
            <w:vAlign w:val="center"/>
          </w:tcPr>
          <w:p w14:paraId="7B49E9E7">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产品名称</w:t>
            </w:r>
          </w:p>
        </w:tc>
        <w:tc>
          <w:tcPr>
            <w:tcW w:w="982" w:type="pct"/>
            <w:tcBorders>
              <w:tl2br w:val="nil"/>
              <w:tr2bl w:val="nil"/>
            </w:tcBorders>
            <w:noWrap w:val="0"/>
            <w:vAlign w:val="center"/>
          </w:tcPr>
          <w:p w14:paraId="7366A75B">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用途</w:t>
            </w:r>
          </w:p>
        </w:tc>
        <w:tc>
          <w:tcPr>
            <w:tcW w:w="1141" w:type="pct"/>
            <w:tcBorders>
              <w:tl2br w:val="nil"/>
              <w:tr2bl w:val="nil"/>
            </w:tcBorders>
            <w:noWrap w:val="0"/>
            <w:vAlign w:val="center"/>
          </w:tcPr>
          <w:p w14:paraId="07B97544">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rPr>
            </w:pPr>
            <w:r>
              <w:rPr>
                <w:rFonts w:hint="eastAsia" w:asciiTheme="minorEastAsia" w:hAnsiTheme="minorEastAsia" w:eastAsiaTheme="minorEastAsia" w:cstheme="minorEastAsia"/>
                <w:b/>
                <w:bCs w:val="0"/>
                <w:color w:val="000000"/>
                <w:sz w:val="21"/>
                <w:szCs w:val="21"/>
              </w:rPr>
              <w:t>参数要求</w:t>
            </w:r>
          </w:p>
        </w:tc>
        <w:tc>
          <w:tcPr>
            <w:tcW w:w="859" w:type="pct"/>
            <w:tcBorders>
              <w:tl2br w:val="nil"/>
              <w:tr2bl w:val="nil"/>
            </w:tcBorders>
            <w:noWrap w:val="0"/>
            <w:vAlign w:val="center"/>
          </w:tcPr>
          <w:p w14:paraId="2ECEA5AD">
            <w:pPr>
              <w:spacing w:beforeLines="0" w:afterLines="0"/>
              <w:ind w:left="0" w:leftChars="0" w:firstLine="0" w:firstLineChars="0"/>
              <w:jc w:val="center"/>
              <w:rPr>
                <w:rFonts w:hint="eastAsia" w:asciiTheme="minorEastAsia" w:hAnsiTheme="minorEastAsia" w:eastAsiaTheme="minorEastAsia" w:cstheme="minorEastAsia"/>
                <w:b/>
                <w:bCs w:val="0"/>
                <w:color w:val="000000"/>
                <w:sz w:val="21"/>
                <w:szCs w:val="21"/>
                <w:lang w:val="en-US" w:eastAsia="zh-CN"/>
              </w:rPr>
            </w:pPr>
            <w:r>
              <w:rPr>
                <w:rFonts w:hint="eastAsia" w:asciiTheme="minorEastAsia" w:hAnsiTheme="minorEastAsia" w:eastAsiaTheme="minorEastAsia" w:cstheme="minorEastAsia"/>
                <w:b/>
                <w:bCs w:val="0"/>
                <w:color w:val="000000"/>
                <w:sz w:val="21"/>
                <w:szCs w:val="21"/>
                <w:lang w:val="en-US" w:eastAsia="zh-CN"/>
              </w:rPr>
              <w:t>备注</w:t>
            </w:r>
          </w:p>
        </w:tc>
      </w:tr>
      <w:tr w14:paraId="16B0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399" w:type="pct"/>
            <w:tcBorders>
              <w:tl2br w:val="nil"/>
              <w:tr2bl w:val="nil"/>
            </w:tcBorders>
            <w:shd w:val="clear" w:color="FFFFFF" w:fill="auto"/>
            <w:noWrap w:val="0"/>
            <w:vAlign w:val="center"/>
          </w:tcPr>
          <w:p w14:paraId="2227510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eastAsia="zh-CN"/>
              </w:rPr>
            </w:pPr>
            <w:r>
              <w:rPr>
                <w:rFonts w:hint="eastAsia" w:asciiTheme="minorEastAsia" w:hAnsiTheme="minorEastAsia" w:eastAsiaTheme="minorEastAsia" w:cstheme="minorEastAsia"/>
                <w:b w:val="0"/>
                <w:bCs/>
                <w:color w:val="000000"/>
                <w:sz w:val="21"/>
                <w:szCs w:val="21"/>
                <w:lang w:val="en-US" w:eastAsia="zh-CN"/>
              </w:rPr>
              <w:t>1</w:t>
            </w:r>
          </w:p>
        </w:tc>
        <w:tc>
          <w:tcPr>
            <w:tcW w:w="1617" w:type="pct"/>
            <w:tcBorders>
              <w:tl2br w:val="nil"/>
              <w:tr2bl w:val="nil"/>
            </w:tcBorders>
            <w:shd w:val="clear" w:color="auto" w:fill="auto"/>
            <w:noWrap w:val="0"/>
            <w:vAlign w:val="center"/>
          </w:tcPr>
          <w:p w14:paraId="1A1E02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糖化血红蛋白（HbA1c)测定试剂盒（酶法）</w:t>
            </w:r>
          </w:p>
        </w:tc>
        <w:tc>
          <w:tcPr>
            <w:tcW w:w="982" w:type="pct"/>
            <w:tcBorders>
              <w:tl2br w:val="nil"/>
              <w:tr2bl w:val="nil"/>
            </w:tcBorders>
            <w:shd w:val="clear" w:color="FFFFFF" w:fill="auto"/>
            <w:noWrap w:val="0"/>
            <w:vAlign w:val="center"/>
          </w:tcPr>
          <w:p w14:paraId="61CFC5B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主要用于血液中糖化血红蛋白的测定</w:t>
            </w:r>
          </w:p>
        </w:tc>
        <w:tc>
          <w:tcPr>
            <w:tcW w:w="1141" w:type="pct"/>
            <w:vMerge w:val="restart"/>
            <w:tcBorders>
              <w:tl2br w:val="nil"/>
              <w:tr2bl w:val="nil"/>
            </w:tcBorders>
            <w:shd w:val="clear" w:color="auto" w:fill="auto"/>
            <w:noWrap w:val="0"/>
            <w:vAlign w:val="center"/>
          </w:tcPr>
          <w:p w14:paraId="10292F9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bCs w:val="0"/>
                <w:color w:val="000000"/>
                <w:sz w:val="21"/>
                <w:szCs w:val="21"/>
              </w:rPr>
              <w:t>适配深圳迈瑞全自动BS-800生化分析仪</w:t>
            </w:r>
          </w:p>
        </w:tc>
        <w:tc>
          <w:tcPr>
            <w:tcW w:w="859" w:type="pct"/>
            <w:tcBorders>
              <w:tl2br w:val="nil"/>
              <w:tr2bl w:val="nil"/>
            </w:tcBorders>
            <w:shd w:val="clear" w:color="FFFFFF" w:fill="auto"/>
            <w:noWrap w:val="0"/>
            <w:vAlign w:val="center"/>
          </w:tcPr>
          <w:p w14:paraId="27099771">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糖代谢类</w:t>
            </w:r>
          </w:p>
        </w:tc>
      </w:tr>
      <w:tr w14:paraId="5A8B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399" w:type="pct"/>
            <w:tcBorders>
              <w:tl2br w:val="nil"/>
              <w:tr2bl w:val="nil"/>
            </w:tcBorders>
            <w:shd w:val="clear" w:color="FFFFFF" w:fill="auto"/>
            <w:noWrap w:val="0"/>
            <w:vAlign w:val="center"/>
          </w:tcPr>
          <w:p w14:paraId="51535A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w:t>
            </w:r>
          </w:p>
        </w:tc>
        <w:tc>
          <w:tcPr>
            <w:tcW w:w="1617" w:type="pct"/>
            <w:tcBorders>
              <w:tl2br w:val="nil"/>
              <w:tr2bl w:val="nil"/>
            </w:tcBorders>
            <w:shd w:val="clear" w:color="auto" w:fill="auto"/>
            <w:noWrap w:val="0"/>
            <w:vAlign w:val="center"/>
          </w:tcPr>
          <w:p w14:paraId="4C329F7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免疫球蛋白A（IgA）测定试剂盒（免疫透射比浊法）</w:t>
            </w:r>
          </w:p>
        </w:tc>
        <w:tc>
          <w:tcPr>
            <w:tcW w:w="982" w:type="pct"/>
            <w:vMerge w:val="restart"/>
            <w:tcBorders>
              <w:tl2br w:val="nil"/>
              <w:tr2bl w:val="nil"/>
            </w:tcBorders>
            <w:shd w:val="clear" w:color="FFFFFF" w:fill="auto"/>
            <w:noWrap w:val="0"/>
            <w:vAlign w:val="center"/>
          </w:tcPr>
          <w:p w14:paraId="5863010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主要用于血液中特种蛋白含量的测定</w:t>
            </w:r>
          </w:p>
        </w:tc>
        <w:tc>
          <w:tcPr>
            <w:tcW w:w="1141" w:type="pct"/>
            <w:vMerge w:val="continue"/>
            <w:tcBorders>
              <w:tl2br w:val="nil"/>
              <w:tr2bl w:val="nil"/>
            </w:tcBorders>
            <w:shd w:val="clear" w:color="auto" w:fill="auto"/>
            <w:noWrap w:val="0"/>
            <w:vAlign w:val="center"/>
          </w:tcPr>
          <w:p w14:paraId="279944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46EDCEB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4D44C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99" w:type="pct"/>
            <w:tcBorders>
              <w:tl2br w:val="nil"/>
              <w:tr2bl w:val="nil"/>
            </w:tcBorders>
            <w:shd w:val="clear" w:color="FFFFFF" w:fill="auto"/>
            <w:noWrap w:val="0"/>
            <w:vAlign w:val="center"/>
          </w:tcPr>
          <w:p w14:paraId="62D71E2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w:t>
            </w:r>
          </w:p>
        </w:tc>
        <w:tc>
          <w:tcPr>
            <w:tcW w:w="1617" w:type="pct"/>
            <w:tcBorders>
              <w:tl2br w:val="nil"/>
              <w:tr2bl w:val="nil"/>
            </w:tcBorders>
            <w:shd w:val="clear" w:color="auto" w:fill="auto"/>
            <w:noWrap w:val="0"/>
            <w:vAlign w:val="center"/>
          </w:tcPr>
          <w:p w14:paraId="1C2AD47A">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免疫球蛋白G（IgG）测定试剂盒（免疫透射比浊法）</w:t>
            </w:r>
          </w:p>
        </w:tc>
        <w:tc>
          <w:tcPr>
            <w:tcW w:w="982" w:type="pct"/>
            <w:vMerge w:val="continue"/>
            <w:tcBorders>
              <w:tl2br w:val="nil"/>
              <w:tr2bl w:val="nil"/>
            </w:tcBorders>
            <w:shd w:val="clear" w:color="FFFFFF" w:fill="auto"/>
            <w:noWrap w:val="0"/>
            <w:vAlign w:val="center"/>
          </w:tcPr>
          <w:p w14:paraId="7EB18A5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38BFFB2F">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3F1DB52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711C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99" w:type="pct"/>
            <w:tcBorders>
              <w:tl2br w:val="nil"/>
              <w:tr2bl w:val="nil"/>
            </w:tcBorders>
            <w:shd w:val="clear" w:color="FFFFFF" w:fill="auto"/>
            <w:noWrap w:val="0"/>
            <w:vAlign w:val="center"/>
          </w:tcPr>
          <w:p w14:paraId="76C4BB5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4</w:t>
            </w:r>
          </w:p>
        </w:tc>
        <w:tc>
          <w:tcPr>
            <w:tcW w:w="1617" w:type="pct"/>
            <w:tcBorders>
              <w:tl2br w:val="nil"/>
              <w:tr2bl w:val="nil"/>
            </w:tcBorders>
            <w:shd w:val="clear" w:color="auto" w:fill="auto"/>
            <w:noWrap w:val="0"/>
            <w:vAlign w:val="center"/>
          </w:tcPr>
          <w:p w14:paraId="4755519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免疫球蛋白M（IgM）测定试剂盒（免疫透射比浊法）</w:t>
            </w:r>
          </w:p>
        </w:tc>
        <w:tc>
          <w:tcPr>
            <w:tcW w:w="982" w:type="pct"/>
            <w:vMerge w:val="continue"/>
            <w:tcBorders>
              <w:tl2br w:val="nil"/>
              <w:tr2bl w:val="nil"/>
            </w:tcBorders>
            <w:shd w:val="clear" w:color="FFFFFF" w:fill="auto"/>
            <w:noWrap w:val="0"/>
            <w:vAlign w:val="center"/>
          </w:tcPr>
          <w:p w14:paraId="16D8E00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2B37787B">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4A3A8D6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74FA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399" w:type="pct"/>
            <w:tcBorders>
              <w:tl2br w:val="nil"/>
              <w:tr2bl w:val="nil"/>
            </w:tcBorders>
            <w:shd w:val="clear" w:color="FFFFFF" w:fill="auto"/>
            <w:noWrap w:val="0"/>
            <w:vAlign w:val="center"/>
          </w:tcPr>
          <w:p w14:paraId="6EA5C61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5</w:t>
            </w:r>
          </w:p>
        </w:tc>
        <w:tc>
          <w:tcPr>
            <w:tcW w:w="1617" w:type="pct"/>
            <w:tcBorders>
              <w:tl2br w:val="nil"/>
              <w:tr2bl w:val="nil"/>
            </w:tcBorders>
            <w:shd w:val="clear" w:color="auto" w:fill="auto"/>
            <w:noWrap w:val="0"/>
            <w:vAlign w:val="center"/>
          </w:tcPr>
          <w:p w14:paraId="02D4E1F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补体因子C3测定试剂盒（免疫透射比浊法）</w:t>
            </w:r>
          </w:p>
        </w:tc>
        <w:tc>
          <w:tcPr>
            <w:tcW w:w="982" w:type="pct"/>
            <w:vMerge w:val="continue"/>
            <w:tcBorders>
              <w:tl2br w:val="nil"/>
              <w:tr2bl w:val="nil"/>
            </w:tcBorders>
            <w:shd w:val="clear" w:color="FFFFFF" w:fill="auto"/>
            <w:noWrap w:val="0"/>
            <w:vAlign w:val="center"/>
          </w:tcPr>
          <w:p w14:paraId="485928F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18C7E9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209D770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67CD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99" w:type="pct"/>
            <w:tcBorders>
              <w:tl2br w:val="nil"/>
              <w:tr2bl w:val="nil"/>
            </w:tcBorders>
            <w:shd w:val="clear" w:color="FFFFFF" w:fill="auto"/>
            <w:noWrap w:val="0"/>
            <w:vAlign w:val="center"/>
          </w:tcPr>
          <w:p w14:paraId="149586C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6</w:t>
            </w:r>
          </w:p>
        </w:tc>
        <w:tc>
          <w:tcPr>
            <w:tcW w:w="1617" w:type="pct"/>
            <w:tcBorders>
              <w:tl2br w:val="nil"/>
              <w:tr2bl w:val="nil"/>
            </w:tcBorders>
            <w:shd w:val="clear" w:color="auto" w:fill="auto"/>
            <w:noWrap w:val="0"/>
            <w:vAlign w:val="center"/>
          </w:tcPr>
          <w:p w14:paraId="0B66DA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补体因子C4（C4）测定试剂盒（免疫透射比浊法）</w:t>
            </w:r>
          </w:p>
        </w:tc>
        <w:tc>
          <w:tcPr>
            <w:tcW w:w="982" w:type="pct"/>
            <w:vMerge w:val="continue"/>
            <w:tcBorders>
              <w:tl2br w:val="nil"/>
              <w:tr2bl w:val="nil"/>
            </w:tcBorders>
            <w:shd w:val="clear" w:color="FFFFFF" w:fill="auto"/>
            <w:noWrap w:val="0"/>
            <w:vAlign w:val="center"/>
          </w:tcPr>
          <w:p w14:paraId="51198AEB">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25CC803">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12F45BF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1908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399" w:type="pct"/>
            <w:tcBorders>
              <w:tl2br w:val="nil"/>
              <w:tr2bl w:val="nil"/>
            </w:tcBorders>
            <w:shd w:val="clear" w:color="FFFFFF" w:fill="auto"/>
            <w:noWrap w:val="0"/>
            <w:vAlign w:val="center"/>
          </w:tcPr>
          <w:p w14:paraId="7D609D9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7</w:t>
            </w:r>
          </w:p>
        </w:tc>
        <w:tc>
          <w:tcPr>
            <w:tcW w:w="1617" w:type="pct"/>
            <w:tcBorders>
              <w:tl2br w:val="nil"/>
              <w:tr2bl w:val="nil"/>
            </w:tcBorders>
            <w:shd w:val="clear" w:color="auto" w:fill="auto"/>
            <w:noWrap w:val="0"/>
            <w:vAlign w:val="center"/>
          </w:tcPr>
          <w:p w14:paraId="04A8ECF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C-反应蛋白（CRP）测定试剂盒（免疫透射比浊法）</w:t>
            </w:r>
          </w:p>
        </w:tc>
        <w:tc>
          <w:tcPr>
            <w:tcW w:w="982" w:type="pct"/>
            <w:vMerge w:val="continue"/>
            <w:tcBorders>
              <w:tl2br w:val="nil"/>
              <w:tr2bl w:val="nil"/>
            </w:tcBorders>
            <w:shd w:val="clear" w:color="FFFFFF" w:fill="auto"/>
            <w:noWrap w:val="0"/>
            <w:vAlign w:val="center"/>
          </w:tcPr>
          <w:p w14:paraId="5FDBE465">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13B4A53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3FB360E9">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0EB9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399" w:type="pct"/>
            <w:tcBorders>
              <w:tl2br w:val="nil"/>
              <w:tr2bl w:val="nil"/>
            </w:tcBorders>
            <w:shd w:val="clear" w:color="FFFFFF" w:fill="auto"/>
            <w:noWrap w:val="0"/>
            <w:vAlign w:val="center"/>
          </w:tcPr>
          <w:p w14:paraId="21B3D5B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8</w:t>
            </w:r>
          </w:p>
        </w:tc>
        <w:tc>
          <w:tcPr>
            <w:tcW w:w="1617" w:type="pct"/>
            <w:tcBorders>
              <w:tl2br w:val="nil"/>
              <w:tr2bl w:val="nil"/>
            </w:tcBorders>
            <w:shd w:val="clear" w:color="auto" w:fill="auto"/>
            <w:noWrap w:val="0"/>
            <w:vAlign w:val="center"/>
          </w:tcPr>
          <w:p w14:paraId="3A05264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超敏C—反应蛋白（HS-CRP）测定试剂盒（乳胶免疫比浊法）</w:t>
            </w:r>
          </w:p>
        </w:tc>
        <w:tc>
          <w:tcPr>
            <w:tcW w:w="982" w:type="pct"/>
            <w:vMerge w:val="restart"/>
            <w:tcBorders>
              <w:tl2br w:val="nil"/>
              <w:tr2bl w:val="nil"/>
            </w:tcBorders>
            <w:shd w:val="clear" w:color="FFFFFF" w:fill="auto"/>
            <w:noWrap w:val="0"/>
            <w:vAlign w:val="center"/>
          </w:tcPr>
          <w:p w14:paraId="2665F39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主要用于风湿疾病的检查</w:t>
            </w:r>
          </w:p>
        </w:tc>
        <w:tc>
          <w:tcPr>
            <w:tcW w:w="1141" w:type="pct"/>
            <w:vMerge w:val="continue"/>
            <w:tcBorders>
              <w:tl2br w:val="nil"/>
              <w:tr2bl w:val="nil"/>
            </w:tcBorders>
            <w:shd w:val="clear" w:color="auto" w:fill="auto"/>
            <w:noWrap w:val="0"/>
            <w:vAlign w:val="center"/>
          </w:tcPr>
          <w:p w14:paraId="5A93049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1A25312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心血管类</w:t>
            </w:r>
          </w:p>
        </w:tc>
      </w:tr>
      <w:tr w14:paraId="494D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99" w:type="pct"/>
            <w:tcBorders>
              <w:tl2br w:val="nil"/>
              <w:tr2bl w:val="nil"/>
            </w:tcBorders>
            <w:shd w:val="clear" w:color="FFFFFF" w:fill="auto"/>
            <w:noWrap w:val="0"/>
            <w:vAlign w:val="center"/>
          </w:tcPr>
          <w:p w14:paraId="27EC56E1">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9</w:t>
            </w:r>
          </w:p>
        </w:tc>
        <w:tc>
          <w:tcPr>
            <w:tcW w:w="1617" w:type="pct"/>
            <w:tcBorders>
              <w:tl2br w:val="nil"/>
              <w:tr2bl w:val="nil"/>
            </w:tcBorders>
            <w:shd w:val="clear" w:color="auto" w:fill="auto"/>
            <w:noWrap w:val="0"/>
            <w:vAlign w:val="center"/>
          </w:tcPr>
          <w:p w14:paraId="46AB9ED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抗链球菌溶血素“O“（ASO）测定试剂盒（胶乳免疫比浊法）</w:t>
            </w:r>
          </w:p>
        </w:tc>
        <w:tc>
          <w:tcPr>
            <w:tcW w:w="982" w:type="pct"/>
            <w:vMerge w:val="continue"/>
            <w:tcBorders>
              <w:tl2br w:val="nil"/>
              <w:tr2bl w:val="nil"/>
            </w:tcBorders>
            <w:shd w:val="clear" w:color="FFFFFF" w:fill="auto"/>
            <w:noWrap w:val="0"/>
            <w:vAlign w:val="center"/>
          </w:tcPr>
          <w:p w14:paraId="66CC9D6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5938A462">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1A26E1F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0467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399" w:type="pct"/>
            <w:tcBorders>
              <w:tl2br w:val="nil"/>
              <w:tr2bl w:val="nil"/>
            </w:tcBorders>
            <w:shd w:val="clear" w:color="FFFFFF" w:fill="auto"/>
            <w:noWrap w:val="0"/>
            <w:vAlign w:val="center"/>
          </w:tcPr>
          <w:p w14:paraId="7C3D96D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10</w:t>
            </w:r>
          </w:p>
        </w:tc>
        <w:tc>
          <w:tcPr>
            <w:tcW w:w="1617" w:type="pct"/>
            <w:tcBorders>
              <w:tl2br w:val="nil"/>
              <w:tr2bl w:val="nil"/>
            </w:tcBorders>
            <w:shd w:val="clear" w:color="auto" w:fill="auto"/>
            <w:noWrap w:val="0"/>
            <w:vAlign w:val="center"/>
          </w:tcPr>
          <w:p w14:paraId="468F5A8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类风湿因子（RF）测定试剂盒（胶乳增强免疫透射比浊法）</w:t>
            </w:r>
          </w:p>
        </w:tc>
        <w:tc>
          <w:tcPr>
            <w:tcW w:w="982" w:type="pct"/>
            <w:vMerge w:val="continue"/>
            <w:tcBorders>
              <w:tl2br w:val="nil"/>
              <w:tr2bl w:val="nil"/>
            </w:tcBorders>
            <w:shd w:val="clear" w:color="FFFFFF" w:fill="auto"/>
            <w:noWrap w:val="0"/>
            <w:vAlign w:val="center"/>
          </w:tcPr>
          <w:p w14:paraId="3AA7C133">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shd w:val="clear" w:color="auto" w:fill="auto"/>
            <w:noWrap w:val="0"/>
            <w:vAlign w:val="center"/>
          </w:tcPr>
          <w:p w14:paraId="5E5C1DE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shd w:val="clear" w:color="FFFFFF" w:fill="auto"/>
            <w:noWrap w:val="0"/>
            <w:vAlign w:val="center"/>
          </w:tcPr>
          <w:p w14:paraId="4F802B5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特种蛋白类</w:t>
            </w:r>
          </w:p>
        </w:tc>
      </w:tr>
      <w:tr w14:paraId="011F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399" w:type="pct"/>
            <w:tcBorders>
              <w:tl2br w:val="nil"/>
              <w:tr2bl w:val="nil"/>
            </w:tcBorders>
            <w:shd w:val="clear" w:color="FFFFFF" w:fill="auto"/>
            <w:noWrap w:val="0"/>
            <w:vAlign w:val="center"/>
          </w:tcPr>
          <w:p w14:paraId="51316D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11</w:t>
            </w:r>
          </w:p>
        </w:tc>
        <w:tc>
          <w:tcPr>
            <w:tcW w:w="1617" w:type="pct"/>
            <w:tcBorders>
              <w:tl2br w:val="nil"/>
              <w:tr2bl w:val="nil"/>
            </w:tcBorders>
            <w:noWrap w:val="0"/>
            <w:vAlign w:val="center"/>
          </w:tcPr>
          <w:p w14:paraId="2A683BC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常规生化复合校准品</w:t>
            </w:r>
          </w:p>
        </w:tc>
        <w:tc>
          <w:tcPr>
            <w:tcW w:w="982" w:type="pct"/>
            <w:vMerge w:val="restart"/>
            <w:tcBorders>
              <w:tl2br w:val="nil"/>
              <w:tr2bl w:val="nil"/>
            </w:tcBorders>
            <w:noWrap w:val="0"/>
            <w:vAlign w:val="center"/>
          </w:tcPr>
          <w:p w14:paraId="5CE45AA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用于校准和质量控制</w:t>
            </w:r>
          </w:p>
        </w:tc>
        <w:tc>
          <w:tcPr>
            <w:tcW w:w="1141" w:type="pct"/>
            <w:vMerge w:val="continue"/>
            <w:tcBorders>
              <w:tl2br w:val="nil"/>
              <w:tr2bl w:val="nil"/>
            </w:tcBorders>
            <w:noWrap w:val="0"/>
            <w:vAlign w:val="center"/>
          </w:tcPr>
          <w:p w14:paraId="4CB99A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7A9129F">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w:t>
            </w:r>
          </w:p>
        </w:tc>
      </w:tr>
      <w:tr w14:paraId="3156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399" w:type="pct"/>
            <w:tcBorders>
              <w:tl2br w:val="nil"/>
              <w:tr2bl w:val="nil"/>
            </w:tcBorders>
            <w:shd w:val="clear" w:color="FFFFFF" w:fill="auto"/>
            <w:noWrap w:val="0"/>
            <w:vAlign w:val="center"/>
          </w:tcPr>
          <w:p w14:paraId="701EA14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12</w:t>
            </w:r>
          </w:p>
        </w:tc>
        <w:tc>
          <w:tcPr>
            <w:tcW w:w="1617" w:type="pct"/>
            <w:tcBorders>
              <w:tl2br w:val="nil"/>
              <w:tr2bl w:val="nil"/>
            </w:tcBorders>
            <w:noWrap w:val="0"/>
            <w:vAlign w:val="center"/>
          </w:tcPr>
          <w:p w14:paraId="5E00BBA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常规生化复合校准品</w:t>
            </w:r>
          </w:p>
        </w:tc>
        <w:tc>
          <w:tcPr>
            <w:tcW w:w="982" w:type="pct"/>
            <w:vMerge w:val="continue"/>
            <w:tcBorders>
              <w:tl2br w:val="nil"/>
              <w:tr2bl w:val="nil"/>
            </w:tcBorders>
            <w:noWrap w:val="0"/>
            <w:vAlign w:val="center"/>
          </w:tcPr>
          <w:p w14:paraId="62B3FE18">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02C2CB5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0BE32D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w:t>
            </w:r>
          </w:p>
        </w:tc>
      </w:tr>
      <w:tr w14:paraId="0626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399" w:type="pct"/>
            <w:tcBorders>
              <w:tl2br w:val="nil"/>
              <w:tr2bl w:val="nil"/>
            </w:tcBorders>
            <w:shd w:val="clear" w:color="FFFFFF" w:fill="auto"/>
            <w:noWrap w:val="0"/>
            <w:vAlign w:val="center"/>
          </w:tcPr>
          <w:p w14:paraId="4AC3D9B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13</w:t>
            </w:r>
          </w:p>
        </w:tc>
        <w:tc>
          <w:tcPr>
            <w:tcW w:w="1617" w:type="pct"/>
            <w:tcBorders>
              <w:tl2br w:val="nil"/>
              <w:tr2bl w:val="nil"/>
            </w:tcBorders>
            <w:noWrap w:val="0"/>
            <w:vAlign w:val="center"/>
          </w:tcPr>
          <w:p w14:paraId="11C21AA2">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特种蛋白校准品</w:t>
            </w:r>
          </w:p>
        </w:tc>
        <w:tc>
          <w:tcPr>
            <w:tcW w:w="982" w:type="pct"/>
            <w:vMerge w:val="continue"/>
            <w:tcBorders>
              <w:tl2br w:val="nil"/>
              <w:tr2bl w:val="nil"/>
            </w:tcBorders>
            <w:noWrap w:val="0"/>
            <w:vAlign w:val="center"/>
          </w:tcPr>
          <w:p w14:paraId="425928F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34E8A408">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30ED63C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生化校准品(特种蛋白类)</w:t>
            </w:r>
          </w:p>
        </w:tc>
      </w:tr>
      <w:tr w14:paraId="3EB3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99" w:type="pct"/>
            <w:tcBorders>
              <w:tl2br w:val="nil"/>
              <w:tr2bl w:val="nil"/>
            </w:tcBorders>
            <w:shd w:val="clear" w:color="FFFFFF" w:fill="auto"/>
            <w:noWrap w:val="0"/>
            <w:vAlign w:val="center"/>
          </w:tcPr>
          <w:p w14:paraId="0D4E0D2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14</w:t>
            </w:r>
          </w:p>
        </w:tc>
        <w:tc>
          <w:tcPr>
            <w:tcW w:w="1617" w:type="pct"/>
            <w:tcBorders>
              <w:tl2br w:val="nil"/>
              <w:tr2bl w:val="nil"/>
            </w:tcBorders>
            <w:noWrap w:val="0"/>
            <w:vAlign w:val="center"/>
          </w:tcPr>
          <w:p w14:paraId="1E87D54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前白蛋白校准品</w:t>
            </w:r>
          </w:p>
        </w:tc>
        <w:tc>
          <w:tcPr>
            <w:tcW w:w="982" w:type="pct"/>
            <w:vMerge w:val="continue"/>
            <w:tcBorders>
              <w:tl2br w:val="nil"/>
              <w:tr2bl w:val="nil"/>
            </w:tcBorders>
            <w:noWrap w:val="0"/>
            <w:vAlign w:val="center"/>
          </w:tcPr>
          <w:p w14:paraId="191E7345">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1642199">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C1A06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生化校准品（肝功类)</w:t>
            </w:r>
          </w:p>
        </w:tc>
      </w:tr>
      <w:tr w14:paraId="70C9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399" w:type="pct"/>
            <w:tcBorders>
              <w:tl2br w:val="nil"/>
              <w:tr2bl w:val="nil"/>
            </w:tcBorders>
            <w:shd w:val="clear" w:color="FFFFFF" w:fill="auto"/>
            <w:noWrap w:val="0"/>
            <w:vAlign w:val="center"/>
          </w:tcPr>
          <w:p w14:paraId="64A0E38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15</w:t>
            </w:r>
          </w:p>
        </w:tc>
        <w:tc>
          <w:tcPr>
            <w:tcW w:w="1617" w:type="pct"/>
            <w:tcBorders>
              <w:tl2br w:val="nil"/>
              <w:tr2bl w:val="nil"/>
            </w:tcBorders>
            <w:noWrap w:val="0"/>
            <w:vAlign w:val="center"/>
          </w:tcPr>
          <w:p w14:paraId="684F42B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脂类校准品</w:t>
            </w:r>
          </w:p>
        </w:tc>
        <w:tc>
          <w:tcPr>
            <w:tcW w:w="982" w:type="pct"/>
            <w:vMerge w:val="continue"/>
            <w:tcBorders>
              <w:tl2br w:val="nil"/>
              <w:tr2bl w:val="nil"/>
            </w:tcBorders>
            <w:noWrap w:val="0"/>
            <w:vAlign w:val="center"/>
          </w:tcPr>
          <w:p w14:paraId="536986C4">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253FA5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312FA39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生化校准品(血脂类)</w:t>
            </w:r>
          </w:p>
        </w:tc>
      </w:tr>
      <w:tr w14:paraId="6CDA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99" w:type="pct"/>
            <w:tcBorders>
              <w:tl2br w:val="nil"/>
              <w:tr2bl w:val="nil"/>
            </w:tcBorders>
            <w:shd w:val="clear" w:color="FFFFFF" w:fill="auto"/>
            <w:noWrap w:val="0"/>
            <w:vAlign w:val="center"/>
          </w:tcPr>
          <w:p w14:paraId="3B7F251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16</w:t>
            </w:r>
          </w:p>
        </w:tc>
        <w:tc>
          <w:tcPr>
            <w:tcW w:w="1617" w:type="pct"/>
            <w:tcBorders>
              <w:tl2br w:val="nil"/>
              <w:tr2bl w:val="nil"/>
            </w:tcBorders>
            <w:noWrap w:val="0"/>
            <w:vAlign w:val="center"/>
          </w:tcPr>
          <w:p w14:paraId="4D01A98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脂类校准品</w:t>
            </w:r>
          </w:p>
        </w:tc>
        <w:tc>
          <w:tcPr>
            <w:tcW w:w="982" w:type="pct"/>
            <w:vMerge w:val="continue"/>
            <w:tcBorders>
              <w:tl2br w:val="nil"/>
              <w:tr2bl w:val="nil"/>
            </w:tcBorders>
            <w:noWrap w:val="0"/>
            <w:vAlign w:val="center"/>
          </w:tcPr>
          <w:p w14:paraId="5D3E0103">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3B56A9FB">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2963AA9">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生化校准品(血脂类)</w:t>
            </w:r>
          </w:p>
        </w:tc>
      </w:tr>
      <w:tr w14:paraId="07CA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99" w:type="pct"/>
            <w:tcBorders>
              <w:tl2br w:val="nil"/>
              <w:tr2bl w:val="nil"/>
            </w:tcBorders>
            <w:shd w:val="clear" w:color="FFFFFF" w:fill="auto"/>
            <w:noWrap w:val="0"/>
            <w:vAlign w:val="center"/>
          </w:tcPr>
          <w:p w14:paraId="1CB1019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17</w:t>
            </w:r>
          </w:p>
        </w:tc>
        <w:tc>
          <w:tcPr>
            <w:tcW w:w="1617" w:type="pct"/>
            <w:tcBorders>
              <w:tl2br w:val="nil"/>
              <w:tr2bl w:val="nil"/>
            </w:tcBorders>
            <w:noWrap w:val="0"/>
            <w:vAlign w:val="center"/>
          </w:tcPr>
          <w:p w14:paraId="5D53805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脂蛋白(a)[Lp(a)]校准品</w:t>
            </w:r>
          </w:p>
        </w:tc>
        <w:tc>
          <w:tcPr>
            <w:tcW w:w="982" w:type="pct"/>
            <w:vMerge w:val="continue"/>
            <w:tcBorders>
              <w:tl2br w:val="nil"/>
              <w:tr2bl w:val="nil"/>
            </w:tcBorders>
            <w:noWrap w:val="0"/>
            <w:vAlign w:val="center"/>
          </w:tcPr>
          <w:p w14:paraId="6FFDEA58">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5A766CD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8EEBA7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生化校准品（血脂类)</w:t>
            </w:r>
          </w:p>
        </w:tc>
      </w:tr>
      <w:tr w14:paraId="511A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399" w:type="pct"/>
            <w:tcBorders>
              <w:tl2br w:val="nil"/>
              <w:tr2bl w:val="nil"/>
            </w:tcBorders>
            <w:shd w:val="clear" w:color="FFFFFF" w:fill="auto"/>
            <w:noWrap w:val="0"/>
            <w:vAlign w:val="center"/>
          </w:tcPr>
          <w:p w14:paraId="2F7A3BC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18</w:t>
            </w:r>
          </w:p>
        </w:tc>
        <w:tc>
          <w:tcPr>
            <w:tcW w:w="1617" w:type="pct"/>
            <w:tcBorders>
              <w:tl2br w:val="nil"/>
              <w:tr2bl w:val="nil"/>
            </w:tcBorders>
            <w:noWrap w:val="0"/>
            <w:vAlign w:val="center"/>
          </w:tcPr>
          <w:p w14:paraId="43B7C52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肌酸激酶同工酶校准品</w:t>
            </w:r>
          </w:p>
        </w:tc>
        <w:tc>
          <w:tcPr>
            <w:tcW w:w="982" w:type="pct"/>
            <w:vMerge w:val="continue"/>
            <w:tcBorders>
              <w:tl2br w:val="nil"/>
              <w:tr2bl w:val="nil"/>
            </w:tcBorders>
            <w:noWrap w:val="0"/>
            <w:vAlign w:val="center"/>
          </w:tcPr>
          <w:p w14:paraId="4ADE7CD9">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580F5B2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6E4C30D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生化校准品(心血管类)</w:t>
            </w:r>
          </w:p>
        </w:tc>
      </w:tr>
      <w:tr w14:paraId="76AA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99" w:type="pct"/>
            <w:tcBorders>
              <w:tl2br w:val="nil"/>
              <w:tr2bl w:val="nil"/>
            </w:tcBorders>
            <w:shd w:val="clear" w:color="FFFFFF" w:fill="auto"/>
            <w:noWrap w:val="0"/>
            <w:vAlign w:val="center"/>
          </w:tcPr>
          <w:p w14:paraId="2B29D0B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19</w:t>
            </w:r>
          </w:p>
        </w:tc>
        <w:tc>
          <w:tcPr>
            <w:tcW w:w="1617" w:type="pct"/>
            <w:tcBorders>
              <w:tl2br w:val="nil"/>
              <w:tr2bl w:val="nil"/>
            </w:tcBorders>
            <w:noWrap w:val="0"/>
            <w:vAlign w:val="center"/>
          </w:tcPr>
          <w:p w14:paraId="1AC62A3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糖化血红蛋白校准品</w:t>
            </w:r>
          </w:p>
        </w:tc>
        <w:tc>
          <w:tcPr>
            <w:tcW w:w="982" w:type="pct"/>
            <w:vMerge w:val="continue"/>
            <w:tcBorders>
              <w:tl2br w:val="nil"/>
              <w:tr2bl w:val="nil"/>
            </w:tcBorders>
            <w:noWrap w:val="0"/>
            <w:vAlign w:val="center"/>
          </w:tcPr>
          <w:p w14:paraId="2FF46831">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77A24EDE">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6708BE5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生化校准品(糖代谢类)</w:t>
            </w:r>
          </w:p>
        </w:tc>
      </w:tr>
      <w:tr w14:paraId="0D0E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99" w:type="pct"/>
            <w:tcBorders>
              <w:tl2br w:val="nil"/>
              <w:tr2bl w:val="nil"/>
            </w:tcBorders>
            <w:shd w:val="clear" w:color="FFFFFF" w:fill="auto"/>
            <w:noWrap w:val="0"/>
            <w:vAlign w:val="center"/>
          </w:tcPr>
          <w:p w14:paraId="7B39B53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20</w:t>
            </w:r>
          </w:p>
        </w:tc>
        <w:tc>
          <w:tcPr>
            <w:tcW w:w="1617" w:type="pct"/>
            <w:tcBorders>
              <w:tl2br w:val="nil"/>
              <w:tr2bl w:val="nil"/>
            </w:tcBorders>
            <w:noWrap w:val="0"/>
            <w:vAlign w:val="center"/>
          </w:tcPr>
          <w:p w14:paraId="06773BB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生化复合定值质控品</w:t>
            </w:r>
          </w:p>
        </w:tc>
        <w:tc>
          <w:tcPr>
            <w:tcW w:w="982" w:type="pct"/>
            <w:vMerge w:val="continue"/>
            <w:tcBorders>
              <w:tl2br w:val="nil"/>
              <w:tr2bl w:val="nil"/>
            </w:tcBorders>
            <w:noWrap w:val="0"/>
            <w:vAlign w:val="center"/>
          </w:tcPr>
          <w:p w14:paraId="6FDC9E6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701B1E6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3835D99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w:t>
            </w:r>
          </w:p>
        </w:tc>
      </w:tr>
      <w:tr w14:paraId="4733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9" w:type="pct"/>
            <w:tcBorders>
              <w:tl2br w:val="nil"/>
              <w:tr2bl w:val="nil"/>
            </w:tcBorders>
            <w:shd w:val="clear" w:color="FFFFFF" w:fill="auto"/>
            <w:noWrap w:val="0"/>
            <w:vAlign w:val="center"/>
          </w:tcPr>
          <w:p w14:paraId="44D4420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21</w:t>
            </w:r>
          </w:p>
        </w:tc>
        <w:tc>
          <w:tcPr>
            <w:tcW w:w="1617" w:type="pct"/>
            <w:tcBorders>
              <w:tl2br w:val="nil"/>
              <w:tr2bl w:val="nil"/>
            </w:tcBorders>
            <w:noWrap w:val="0"/>
            <w:vAlign w:val="center"/>
          </w:tcPr>
          <w:p w14:paraId="706FB70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脂蛋白（a)[Lp(a)]质控品</w:t>
            </w:r>
          </w:p>
        </w:tc>
        <w:tc>
          <w:tcPr>
            <w:tcW w:w="982" w:type="pct"/>
            <w:vMerge w:val="continue"/>
            <w:tcBorders>
              <w:tl2br w:val="nil"/>
              <w:tr2bl w:val="nil"/>
            </w:tcBorders>
            <w:noWrap w:val="0"/>
            <w:vAlign w:val="center"/>
          </w:tcPr>
          <w:p w14:paraId="0DC5F22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88A8A01">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76465C0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生化质控品(血脂类)</w:t>
            </w:r>
          </w:p>
        </w:tc>
      </w:tr>
      <w:tr w14:paraId="5F53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99" w:type="pct"/>
            <w:tcBorders>
              <w:tl2br w:val="nil"/>
              <w:tr2bl w:val="nil"/>
            </w:tcBorders>
            <w:shd w:val="clear" w:color="FFFFFF" w:fill="auto"/>
            <w:noWrap w:val="0"/>
            <w:vAlign w:val="center"/>
          </w:tcPr>
          <w:p w14:paraId="00157B7C">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22</w:t>
            </w:r>
          </w:p>
        </w:tc>
        <w:tc>
          <w:tcPr>
            <w:tcW w:w="1617" w:type="pct"/>
            <w:tcBorders>
              <w:tl2br w:val="nil"/>
              <w:tr2bl w:val="nil"/>
            </w:tcBorders>
            <w:noWrap w:val="0"/>
            <w:vAlign w:val="center"/>
          </w:tcPr>
          <w:p w14:paraId="6300BAF3">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免疫多项复合质控品</w:t>
            </w:r>
          </w:p>
        </w:tc>
        <w:tc>
          <w:tcPr>
            <w:tcW w:w="982" w:type="pct"/>
            <w:vMerge w:val="continue"/>
            <w:tcBorders>
              <w:tl2br w:val="nil"/>
              <w:tr2bl w:val="nil"/>
            </w:tcBorders>
            <w:noWrap w:val="0"/>
            <w:vAlign w:val="center"/>
          </w:tcPr>
          <w:p w14:paraId="0617A8A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01C98AB7">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78F1F761">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生化质控品（特种蛋白类）</w:t>
            </w:r>
          </w:p>
        </w:tc>
      </w:tr>
      <w:tr w14:paraId="2FF7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399" w:type="pct"/>
            <w:tcBorders>
              <w:tl2br w:val="nil"/>
              <w:tr2bl w:val="nil"/>
            </w:tcBorders>
            <w:shd w:val="clear" w:color="FFFFFF" w:fill="auto"/>
            <w:noWrap w:val="0"/>
            <w:vAlign w:val="center"/>
          </w:tcPr>
          <w:p w14:paraId="6719C964">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23</w:t>
            </w:r>
          </w:p>
        </w:tc>
        <w:tc>
          <w:tcPr>
            <w:tcW w:w="1617" w:type="pct"/>
            <w:tcBorders>
              <w:tl2br w:val="nil"/>
              <w:tr2bl w:val="nil"/>
            </w:tcBorders>
            <w:noWrap w:val="0"/>
            <w:vAlign w:val="center"/>
          </w:tcPr>
          <w:p w14:paraId="4A9FC0E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糖化血红蛋白质控品</w:t>
            </w:r>
          </w:p>
        </w:tc>
        <w:tc>
          <w:tcPr>
            <w:tcW w:w="982" w:type="pct"/>
            <w:vMerge w:val="continue"/>
            <w:tcBorders>
              <w:tl2br w:val="nil"/>
              <w:tr2bl w:val="nil"/>
            </w:tcBorders>
            <w:noWrap w:val="0"/>
            <w:vAlign w:val="center"/>
          </w:tcPr>
          <w:p w14:paraId="090E4AE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5BE736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6D8935B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生化质控品（糖代谢类）</w:t>
            </w:r>
          </w:p>
        </w:tc>
      </w:tr>
      <w:tr w14:paraId="6FC5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399" w:type="pct"/>
            <w:tcBorders>
              <w:tl2br w:val="nil"/>
              <w:tr2bl w:val="nil"/>
            </w:tcBorders>
            <w:shd w:val="clear" w:color="FFFFFF" w:fill="auto"/>
            <w:noWrap w:val="0"/>
            <w:vAlign w:val="center"/>
          </w:tcPr>
          <w:p w14:paraId="7CE334A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24</w:t>
            </w:r>
          </w:p>
        </w:tc>
        <w:tc>
          <w:tcPr>
            <w:tcW w:w="1617" w:type="pct"/>
            <w:tcBorders>
              <w:tl2br w:val="nil"/>
              <w:tr2bl w:val="nil"/>
            </w:tcBorders>
            <w:noWrap w:val="0"/>
            <w:vAlign w:val="center"/>
          </w:tcPr>
          <w:p w14:paraId="54DAFE60">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糖化血红蛋白质控品</w:t>
            </w:r>
          </w:p>
        </w:tc>
        <w:tc>
          <w:tcPr>
            <w:tcW w:w="982" w:type="pct"/>
            <w:vMerge w:val="continue"/>
            <w:tcBorders>
              <w:tl2br w:val="nil"/>
              <w:tr2bl w:val="nil"/>
            </w:tcBorders>
            <w:noWrap w:val="0"/>
            <w:vAlign w:val="center"/>
          </w:tcPr>
          <w:p w14:paraId="1C5775E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8457B4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C11B6D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生化质控品（糖代谢类）</w:t>
            </w:r>
          </w:p>
        </w:tc>
      </w:tr>
      <w:tr w14:paraId="7A73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399" w:type="pct"/>
            <w:tcBorders>
              <w:tl2br w:val="nil"/>
              <w:tr2bl w:val="nil"/>
            </w:tcBorders>
            <w:shd w:val="clear" w:color="FFFFFF" w:fill="auto"/>
            <w:noWrap w:val="0"/>
            <w:vAlign w:val="center"/>
          </w:tcPr>
          <w:p w14:paraId="3FF01D9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25</w:t>
            </w:r>
          </w:p>
        </w:tc>
        <w:tc>
          <w:tcPr>
            <w:tcW w:w="1617" w:type="pct"/>
            <w:tcBorders>
              <w:tl2br w:val="nil"/>
              <w:tr2bl w:val="nil"/>
            </w:tcBorders>
            <w:noWrap w:val="0"/>
            <w:vAlign w:val="center"/>
          </w:tcPr>
          <w:p w14:paraId="33BDFA2C">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同型半胱氨酸（HCY）质控品</w:t>
            </w:r>
          </w:p>
        </w:tc>
        <w:tc>
          <w:tcPr>
            <w:tcW w:w="982" w:type="pct"/>
            <w:vMerge w:val="continue"/>
            <w:tcBorders>
              <w:tl2br w:val="nil"/>
              <w:tr2bl w:val="nil"/>
            </w:tcBorders>
            <w:noWrap w:val="0"/>
            <w:vAlign w:val="center"/>
          </w:tcPr>
          <w:p w14:paraId="1F63548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68E77702">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2420A73">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生化质控品（心血管类）</w:t>
            </w:r>
          </w:p>
        </w:tc>
      </w:tr>
      <w:tr w14:paraId="3822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399" w:type="pct"/>
            <w:tcBorders>
              <w:tl2br w:val="nil"/>
              <w:tr2bl w:val="nil"/>
            </w:tcBorders>
            <w:shd w:val="clear" w:color="FFFFFF" w:fill="auto"/>
            <w:noWrap w:val="0"/>
            <w:vAlign w:val="center"/>
          </w:tcPr>
          <w:p w14:paraId="47EA2A6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26</w:t>
            </w:r>
          </w:p>
        </w:tc>
        <w:tc>
          <w:tcPr>
            <w:tcW w:w="1617" w:type="pct"/>
            <w:tcBorders>
              <w:tl2br w:val="nil"/>
              <w:tr2bl w:val="nil"/>
            </w:tcBorders>
            <w:noWrap w:val="0"/>
            <w:vAlign w:val="center"/>
          </w:tcPr>
          <w:p w14:paraId="7CB7395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胱抑素C（CysC）质控品</w:t>
            </w:r>
          </w:p>
        </w:tc>
        <w:tc>
          <w:tcPr>
            <w:tcW w:w="982" w:type="pct"/>
            <w:vMerge w:val="continue"/>
            <w:tcBorders>
              <w:tl2br w:val="nil"/>
              <w:tr2bl w:val="nil"/>
            </w:tcBorders>
            <w:noWrap w:val="0"/>
            <w:vAlign w:val="center"/>
          </w:tcPr>
          <w:p w14:paraId="668AFB8E">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7E6405DB">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7D4B729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生化质控品（肾功类）</w:t>
            </w:r>
          </w:p>
        </w:tc>
      </w:tr>
      <w:tr w14:paraId="3FEE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399" w:type="pct"/>
            <w:tcBorders>
              <w:tl2br w:val="nil"/>
              <w:tr2bl w:val="nil"/>
            </w:tcBorders>
            <w:shd w:val="clear" w:color="FFFFFF" w:fill="auto"/>
            <w:noWrap w:val="0"/>
            <w:vAlign w:val="center"/>
          </w:tcPr>
          <w:p w14:paraId="0F297E5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27</w:t>
            </w:r>
          </w:p>
        </w:tc>
        <w:tc>
          <w:tcPr>
            <w:tcW w:w="1617" w:type="pct"/>
            <w:tcBorders>
              <w:tl2br w:val="nil"/>
              <w:tr2bl w:val="nil"/>
            </w:tcBorders>
            <w:noWrap w:val="0"/>
            <w:vAlign w:val="center"/>
          </w:tcPr>
          <w:p w14:paraId="2A84EC8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β2-微球蛋白（β2-MG）质控品</w:t>
            </w:r>
          </w:p>
        </w:tc>
        <w:tc>
          <w:tcPr>
            <w:tcW w:w="982" w:type="pct"/>
            <w:vMerge w:val="continue"/>
            <w:tcBorders>
              <w:tl2br w:val="nil"/>
              <w:tr2bl w:val="nil"/>
            </w:tcBorders>
            <w:noWrap w:val="0"/>
            <w:vAlign w:val="center"/>
          </w:tcPr>
          <w:p w14:paraId="7744FD66">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4236673D">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61EAB6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生化质控品（肾功类）</w:t>
            </w:r>
          </w:p>
        </w:tc>
      </w:tr>
      <w:tr w14:paraId="6457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99" w:type="pct"/>
            <w:tcBorders>
              <w:tl2br w:val="nil"/>
              <w:tr2bl w:val="nil"/>
            </w:tcBorders>
            <w:shd w:val="clear" w:color="FFFFFF" w:fill="auto"/>
            <w:noWrap w:val="0"/>
            <w:vAlign w:val="center"/>
          </w:tcPr>
          <w:p w14:paraId="7306100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28</w:t>
            </w:r>
          </w:p>
        </w:tc>
        <w:tc>
          <w:tcPr>
            <w:tcW w:w="1617" w:type="pct"/>
            <w:tcBorders>
              <w:tl2br w:val="nil"/>
              <w:tr2bl w:val="nil"/>
            </w:tcBorders>
            <w:noWrap w:val="0"/>
            <w:vAlign w:val="center"/>
          </w:tcPr>
          <w:p w14:paraId="7AC17B5B">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β2-微球蛋白（β2-MG）校准品</w:t>
            </w:r>
          </w:p>
        </w:tc>
        <w:tc>
          <w:tcPr>
            <w:tcW w:w="982" w:type="pct"/>
            <w:vMerge w:val="continue"/>
            <w:tcBorders>
              <w:tl2br w:val="nil"/>
              <w:tr2bl w:val="nil"/>
            </w:tcBorders>
            <w:noWrap w:val="0"/>
            <w:vAlign w:val="center"/>
          </w:tcPr>
          <w:p w14:paraId="09EBC5A2">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23B32A6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1252E40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生化校准品(肾功类)</w:t>
            </w:r>
          </w:p>
        </w:tc>
      </w:tr>
      <w:tr w14:paraId="097C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399" w:type="pct"/>
            <w:tcBorders>
              <w:tl2br w:val="nil"/>
              <w:tr2bl w:val="nil"/>
            </w:tcBorders>
            <w:shd w:val="clear" w:color="FFFFFF" w:fill="auto"/>
            <w:noWrap w:val="0"/>
            <w:vAlign w:val="center"/>
          </w:tcPr>
          <w:p w14:paraId="348BA566">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29</w:t>
            </w:r>
          </w:p>
        </w:tc>
        <w:tc>
          <w:tcPr>
            <w:tcW w:w="1617" w:type="pct"/>
            <w:tcBorders>
              <w:tl2br w:val="nil"/>
              <w:tr2bl w:val="nil"/>
            </w:tcBorders>
            <w:noWrap w:val="0"/>
            <w:vAlign w:val="center"/>
          </w:tcPr>
          <w:p w14:paraId="6CF6C0FD">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尿/脑脊液总蛋白（TPUC）质控品</w:t>
            </w:r>
          </w:p>
        </w:tc>
        <w:tc>
          <w:tcPr>
            <w:tcW w:w="982" w:type="pct"/>
            <w:vMerge w:val="continue"/>
            <w:tcBorders>
              <w:tl2br w:val="nil"/>
              <w:tr2bl w:val="nil"/>
            </w:tcBorders>
            <w:noWrap w:val="0"/>
            <w:vAlign w:val="center"/>
          </w:tcPr>
          <w:p w14:paraId="20C8A85D">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29ED5016">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3590217">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生化质控品（肾功类）</w:t>
            </w:r>
          </w:p>
        </w:tc>
      </w:tr>
      <w:tr w14:paraId="5D52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99" w:type="pct"/>
            <w:tcBorders>
              <w:tl2br w:val="nil"/>
              <w:tr2bl w:val="nil"/>
            </w:tcBorders>
            <w:shd w:val="clear" w:color="FFFFFF" w:fill="auto"/>
            <w:noWrap w:val="0"/>
            <w:vAlign w:val="center"/>
          </w:tcPr>
          <w:p w14:paraId="17D3B8FA">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30</w:t>
            </w:r>
          </w:p>
        </w:tc>
        <w:tc>
          <w:tcPr>
            <w:tcW w:w="1617" w:type="pct"/>
            <w:tcBorders>
              <w:tl2br w:val="nil"/>
              <w:tr2bl w:val="nil"/>
            </w:tcBorders>
            <w:noWrap w:val="0"/>
            <w:vAlign w:val="center"/>
          </w:tcPr>
          <w:p w14:paraId="6241D24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二氧化碳(CO2)、总胆汁酸(TBA)复合质控品试剂盒(L:3H:3)</w:t>
            </w:r>
          </w:p>
        </w:tc>
        <w:tc>
          <w:tcPr>
            <w:tcW w:w="982" w:type="pct"/>
            <w:vMerge w:val="continue"/>
            <w:tcBorders>
              <w:tl2br w:val="nil"/>
              <w:tr2bl w:val="nil"/>
            </w:tcBorders>
            <w:noWrap w:val="0"/>
            <w:vAlign w:val="center"/>
          </w:tcPr>
          <w:p w14:paraId="06D44A30">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3B17E37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09CD5A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生化质控品（肾功、肝功类）</w:t>
            </w:r>
          </w:p>
        </w:tc>
      </w:tr>
      <w:tr w14:paraId="3B65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399" w:type="pct"/>
            <w:tcBorders>
              <w:tl2br w:val="nil"/>
              <w:tr2bl w:val="nil"/>
            </w:tcBorders>
            <w:shd w:val="clear" w:color="FFFFFF" w:fill="auto"/>
            <w:noWrap w:val="0"/>
            <w:vAlign w:val="center"/>
          </w:tcPr>
          <w:p w14:paraId="5B27818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31</w:t>
            </w:r>
          </w:p>
        </w:tc>
        <w:tc>
          <w:tcPr>
            <w:tcW w:w="1617" w:type="pct"/>
            <w:tcBorders>
              <w:tl2br w:val="nil"/>
              <w:tr2bl w:val="nil"/>
            </w:tcBorders>
            <w:noWrap w:val="0"/>
            <w:vAlign w:val="center"/>
          </w:tcPr>
          <w:p w14:paraId="3C6849A5">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5′—核苷酸酶（5′—NT）质控品</w:t>
            </w:r>
          </w:p>
        </w:tc>
        <w:tc>
          <w:tcPr>
            <w:tcW w:w="982" w:type="pct"/>
            <w:vMerge w:val="continue"/>
            <w:tcBorders>
              <w:tl2br w:val="nil"/>
              <w:tr2bl w:val="nil"/>
            </w:tcBorders>
            <w:noWrap w:val="0"/>
            <w:vAlign w:val="center"/>
          </w:tcPr>
          <w:p w14:paraId="6EDF7D6F">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5CDE3E14">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03EDAA12">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生化质控品（肝功类）</w:t>
            </w:r>
          </w:p>
        </w:tc>
      </w:tr>
      <w:tr w14:paraId="6509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399" w:type="pct"/>
            <w:tcBorders>
              <w:tl2br w:val="nil"/>
              <w:tr2bl w:val="nil"/>
            </w:tcBorders>
            <w:shd w:val="clear" w:color="FFFFFF" w:fill="auto"/>
            <w:noWrap w:val="0"/>
            <w:vAlign w:val="center"/>
          </w:tcPr>
          <w:p w14:paraId="55D1B43B">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32</w:t>
            </w:r>
          </w:p>
        </w:tc>
        <w:tc>
          <w:tcPr>
            <w:tcW w:w="1617" w:type="pct"/>
            <w:tcBorders>
              <w:tl2br w:val="nil"/>
              <w:tr2bl w:val="nil"/>
            </w:tcBorders>
            <w:noWrap w:val="0"/>
            <w:vAlign w:val="center"/>
          </w:tcPr>
          <w:p w14:paraId="4877655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果糖胺(FUN)质控品试剂盒(3支)</w:t>
            </w:r>
          </w:p>
        </w:tc>
        <w:tc>
          <w:tcPr>
            <w:tcW w:w="982" w:type="pct"/>
            <w:vMerge w:val="continue"/>
            <w:tcBorders>
              <w:tl2br w:val="nil"/>
              <w:tr2bl w:val="nil"/>
            </w:tcBorders>
            <w:noWrap w:val="0"/>
            <w:vAlign w:val="center"/>
          </w:tcPr>
          <w:p w14:paraId="1ECA10AD">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6A6D15C">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5D444F05">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生化质控品（糖代谢类）</w:t>
            </w:r>
          </w:p>
        </w:tc>
      </w:tr>
      <w:tr w14:paraId="7289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399" w:type="pct"/>
            <w:tcBorders>
              <w:tl2br w:val="nil"/>
              <w:tr2bl w:val="nil"/>
            </w:tcBorders>
            <w:shd w:val="clear" w:color="FFFFFF" w:fill="auto"/>
            <w:noWrap w:val="0"/>
            <w:vAlign w:val="center"/>
          </w:tcPr>
          <w:p w14:paraId="05DCF83C">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33</w:t>
            </w:r>
          </w:p>
        </w:tc>
        <w:tc>
          <w:tcPr>
            <w:tcW w:w="1617" w:type="pct"/>
            <w:tcBorders>
              <w:tl2br w:val="nil"/>
              <w:tr2bl w:val="nil"/>
            </w:tcBorders>
            <w:noWrap w:val="0"/>
            <w:vAlign w:val="center"/>
          </w:tcPr>
          <w:p w14:paraId="00F2B6CF">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类风湿因子（RF）测定校准品（胶乳增强免疫透射比浊法）</w:t>
            </w:r>
          </w:p>
        </w:tc>
        <w:tc>
          <w:tcPr>
            <w:tcW w:w="982" w:type="pct"/>
            <w:tcBorders>
              <w:tl2br w:val="nil"/>
              <w:tr2bl w:val="nil"/>
            </w:tcBorders>
            <w:noWrap w:val="0"/>
            <w:vAlign w:val="center"/>
          </w:tcPr>
          <w:p w14:paraId="6CB24B97">
            <w:pPr>
              <w:spacing w:beforeLines="0" w:afterLines="0"/>
              <w:jc w:val="center"/>
              <w:rPr>
                <w:rFonts w:hint="eastAsia" w:asciiTheme="minorEastAsia" w:hAnsiTheme="minorEastAsia" w:eastAsiaTheme="minorEastAsia" w:cstheme="minorEastAsia"/>
                <w:b w:val="0"/>
                <w:bCs/>
                <w:color w:val="000000"/>
                <w:sz w:val="21"/>
                <w:szCs w:val="21"/>
              </w:rPr>
            </w:pPr>
          </w:p>
        </w:tc>
        <w:tc>
          <w:tcPr>
            <w:tcW w:w="1141" w:type="pct"/>
            <w:vMerge w:val="continue"/>
            <w:tcBorders>
              <w:tl2br w:val="nil"/>
              <w:tr2bl w:val="nil"/>
            </w:tcBorders>
            <w:noWrap w:val="0"/>
            <w:vAlign w:val="center"/>
          </w:tcPr>
          <w:p w14:paraId="1670E805">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6003DA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生化校准品(风湿类)</w:t>
            </w:r>
          </w:p>
        </w:tc>
      </w:tr>
      <w:tr w14:paraId="1DCF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399" w:type="pct"/>
            <w:tcBorders>
              <w:tl2br w:val="nil"/>
              <w:tr2bl w:val="nil"/>
            </w:tcBorders>
            <w:shd w:val="clear" w:color="FFFFFF" w:fill="auto"/>
            <w:noWrap w:val="0"/>
            <w:vAlign w:val="center"/>
          </w:tcPr>
          <w:p w14:paraId="5CECA1DD">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34</w:t>
            </w:r>
          </w:p>
        </w:tc>
        <w:tc>
          <w:tcPr>
            <w:tcW w:w="1617" w:type="pct"/>
            <w:tcBorders>
              <w:tl2br w:val="nil"/>
              <w:tr2bl w:val="nil"/>
            </w:tcBorders>
            <w:noWrap w:val="0"/>
            <w:vAlign w:val="center"/>
          </w:tcPr>
          <w:p w14:paraId="671EDD9E">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碱性清洗液(CD80生化分析仪用清洁液)</w:t>
            </w:r>
          </w:p>
        </w:tc>
        <w:tc>
          <w:tcPr>
            <w:tcW w:w="982" w:type="pct"/>
            <w:tcBorders>
              <w:tl2br w:val="nil"/>
              <w:tr2bl w:val="nil"/>
            </w:tcBorders>
            <w:noWrap w:val="0"/>
            <w:vAlign w:val="center"/>
          </w:tcPr>
          <w:p w14:paraId="4D0DAB11">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用于仪器的清洗和维护</w:t>
            </w:r>
          </w:p>
        </w:tc>
        <w:tc>
          <w:tcPr>
            <w:tcW w:w="1141" w:type="pct"/>
            <w:vMerge w:val="continue"/>
            <w:tcBorders>
              <w:tl2br w:val="nil"/>
              <w:tr2bl w:val="nil"/>
            </w:tcBorders>
            <w:noWrap w:val="0"/>
            <w:vAlign w:val="center"/>
          </w:tcPr>
          <w:p w14:paraId="1B347F10">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E91872E">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耗材（清洗液）</w:t>
            </w:r>
          </w:p>
        </w:tc>
      </w:tr>
      <w:tr w14:paraId="2D9D1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9" w:type="pct"/>
            <w:tcBorders>
              <w:tl2br w:val="nil"/>
              <w:tr2bl w:val="nil"/>
            </w:tcBorders>
            <w:shd w:val="clear" w:color="FFFFFF" w:fill="auto"/>
            <w:noWrap w:val="0"/>
            <w:vAlign w:val="center"/>
          </w:tcPr>
          <w:p w14:paraId="277C5D18">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lang w:val="en-US" w:eastAsia="zh-CN"/>
              </w:rPr>
            </w:pPr>
            <w:r>
              <w:rPr>
                <w:rFonts w:hint="eastAsia" w:asciiTheme="minorEastAsia" w:hAnsiTheme="minorEastAsia" w:eastAsiaTheme="minorEastAsia" w:cstheme="minorEastAsia"/>
                <w:b w:val="0"/>
                <w:bCs/>
                <w:color w:val="000000"/>
                <w:sz w:val="21"/>
                <w:szCs w:val="21"/>
                <w:lang w:val="en-US" w:eastAsia="zh-CN"/>
              </w:rPr>
              <w:t>35</w:t>
            </w:r>
          </w:p>
        </w:tc>
        <w:tc>
          <w:tcPr>
            <w:tcW w:w="1617" w:type="pct"/>
            <w:tcBorders>
              <w:tl2br w:val="nil"/>
              <w:tr2bl w:val="nil"/>
            </w:tcBorders>
            <w:noWrap w:val="0"/>
            <w:vAlign w:val="center"/>
          </w:tcPr>
          <w:p w14:paraId="290D8529">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全自动生化分析仪反应杯</w:t>
            </w:r>
          </w:p>
        </w:tc>
        <w:tc>
          <w:tcPr>
            <w:tcW w:w="982" w:type="pct"/>
            <w:tcBorders>
              <w:tl2br w:val="nil"/>
              <w:tr2bl w:val="nil"/>
            </w:tcBorders>
            <w:noWrap w:val="0"/>
            <w:vAlign w:val="center"/>
          </w:tcPr>
          <w:p w14:paraId="5C65AA04">
            <w:pPr>
              <w:spacing w:beforeLines="0" w:afterLines="0"/>
              <w:ind w:left="0" w:leftChars="0" w:firstLine="0" w:firstLineChars="0"/>
              <w:jc w:val="both"/>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仪器耗材</w:t>
            </w:r>
          </w:p>
        </w:tc>
        <w:tc>
          <w:tcPr>
            <w:tcW w:w="1141" w:type="pct"/>
            <w:vMerge w:val="continue"/>
            <w:tcBorders>
              <w:tl2br w:val="nil"/>
              <w:tr2bl w:val="nil"/>
            </w:tcBorders>
            <w:noWrap w:val="0"/>
            <w:vAlign w:val="center"/>
          </w:tcPr>
          <w:p w14:paraId="53923DAA">
            <w:pPr>
              <w:spacing w:beforeLines="0" w:afterLines="0"/>
              <w:jc w:val="center"/>
              <w:rPr>
                <w:rFonts w:hint="eastAsia" w:asciiTheme="minorEastAsia" w:hAnsiTheme="minorEastAsia" w:eastAsiaTheme="minorEastAsia" w:cstheme="minorEastAsia"/>
                <w:b w:val="0"/>
                <w:bCs/>
                <w:color w:val="000000"/>
                <w:sz w:val="21"/>
                <w:szCs w:val="21"/>
              </w:rPr>
            </w:pPr>
          </w:p>
        </w:tc>
        <w:tc>
          <w:tcPr>
            <w:tcW w:w="859" w:type="pct"/>
            <w:tcBorders>
              <w:tl2br w:val="nil"/>
              <w:tr2bl w:val="nil"/>
            </w:tcBorders>
            <w:noWrap w:val="0"/>
            <w:vAlign w:val="center"/>
          </w:tcPr>
          <w:p w14:paraId="438B2DF0">
            <w:pPr>
              <w:spacing w:beforeLines="0" w:afterLines="0"/>
              <w:ind w:left="0" w:leftChars="0" w:firstLine="0" w:firstLineChars="0"/>
              <w:jc w:val="center"/>
              <w:rPr>
                <w:rFonts w:hint="eastAsia" w:asciiTheme="minorEastAsia" w:hAnsiTheme="minorEastAsia" w:eastAsiaTheme="minorEastAsia" w:cstheme="minorEastAsia"/>
                <w:b w:val="0"/>
                <w:bCs/>
                <w:color w:val="000000"/>
                <w:sz w:val="21"/>
                <w:szCs w:val="21"/>
              </w:rPr>
            </w:pPr>
            <w:r>
              <w:rPr>
                <w:rFonts w:hint="eastAsia" w:asciiTheme="minorEastAsia" w:hAnsiTheme="minorEastAsia" w:eastAsiaTheme="minorEastAsia" w:cstheme="minorEastAsia"/>
                <w:b w:val="0"/>
                <w:bCs/>
                <w:color w:val="000000"/>
                <w:sz w:val="21"/>
                <w:szCs w:val="21"/>
              </w:rPr>
              <w:t>耗材（反应杯）</w:t>
            </w:r>
          </w:p>
        </w:tc>
      </w:tr>
    </w:tbl>
    <w:p w14:paraId="68521C99">
      <w:pPr>
        <w:keepNext w:val="0"/>
        <w:keepLines w:val="0"/>
        <w:widowControl/>
        <w:suppressLineNumbers w:val="0"/>
        <w:spacing w:line="240" w:lineRule="auto"/>
        <w:ind w:left="0" w:leftChars="0" w:firstLine="602" w:firstLineChars="200"/>
        <w:jc w:val="left"/>
        <w:rPr>
          <w:rFonts w:hint="eastAsia"/>
          <w:color w:val="000000" w:themeColor="text1"/>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说明：根据上级通知，以上耗材</w:t>
      </w:r>
      <w:bookmarkStart w:id="68" w:name="OLE_LINK75"/>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或试剂</w:t>
      </w:r>
      <w:bookmarkEnd w:id="68"/>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应通过重庆市药品和医用耗材招采管理系统采购。</w:t>
      </w:r>
    </w:p>
    <w:p w14:paraId="3FB01AA4">
      <w:pPr>
        <w:pStyle w:val="5"/>
        <w:spacing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第三篇 遴选项目商务要求</w:t>
      </w:r>
    </w:p>
    <w:p w14:paraId="292002C9">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一、服务期限</w:t>
      </w:r>
    </w:p>
    <w:p w14:paraId="77940040">
      <w:pPr>
        <w:pStyle w:val="5"/>
        <w:spacing w:line="240" w:lineRule="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u w:val="single"/>
          <w:lang w:val="en-US" w:eastAsia="zh-CN"/>
          <w14:textFill>
            <w14:solidFill>
              <w14:schemeClr w14:val="tx1"/>
            </w14:solidFill>
          </w14:textFill>
        </w:rPr>
        <w:t>三年</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，具体以最终合同签订起始及截止时间计算。</w:t>
      </w:r>
    </w:p>
    <w:p w14:paraId="7EC5E65E">
      <w:pPr>
        <w:pStyle w:val="5"/>
        <w:numPr>
          <w:ilvl w:val="0"/>
          <w:numId w:val="0"/>
        </w:numPr>
        <w:spacing w:line="240" w:lineRule="auto"/>
        <w:ind w:left="0" w:leftChars="0" w:firstLine="56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交货时间、交货地点及验收方式</w:t>
      </w:r>
    </w:p>
    <w:p w14:paraId="4292AEAB">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1.交货时间：</w:t>
      </w:r>
      <w:bookmarkStart w:id="69" w:name="OLE_LINK79"/>
    </w:p>
    <w:p w14:paraId="4BCE4256">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bookmarkEnd w:id="69"/>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重庆市主城有关院区（大公馆、大渡口院区等）：根据</w:t>
      </w:r>
      <w:bookmarkStart w:id="70" w:name="OLE_LINK80"/>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bookmarkEnd w:id="70"/>
      <w:r>
        <w:rPr>
          <w:rFonts w:hint="eastAsia" w:ascii="方正仿宋_GBK" w:hAnsi="方正仿宋_GBK" w:eastAsia="方正仿宋_GBK" w:cs="方正仿宋_GBK"/>
          <w:color w:val="000000" w:themeColor="text1"/>
          <w:sz w:val="24"/>
          <w:lang w:val="en-US" w:eastAsia="zh-CN"/>
          <w14:textFill>
            <w14:solidFill>
              <w14:schemeClr w14:val="tx1"/>
            </w14:solidFill>
          </w14:textFill>
        </w:rPr>
        <w:t>要求按批次进行供货。收到采购人供货通知后7天内送货至采购人后勤保障科库房或现场指定位置，紧急情况在收到供货通知后2天内送到，特别紧急货物须收到供货通知后24小时内送到。</w:t>
      </w:r>
    </w:p>
    <w:p w14:paraId="154D326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（2）黄水院区：收到采购人供货通知后7日内送至黄水院区。</w:t>
      </w:r>
    </w:p>
    <w:p w14:paraId="6447FA0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（3）如</w:t>
      </w:r>
      <w:bookmarkStart w:id="71" w:name="OLE_LINK8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1"/>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不能按期到货,也没有作相应说明，每延迟期限一天按每款产品价值总额的1</w:t>
      </w:r>
      <w:r>
        <w:rPr>
          <w:rFonts w:hint="default" w:ascii="方正仿宋_GBK" w:hAnsi="方正仿宋_GBK" w:eastAsia="方正仿宋_GBK" w:cs="方正仿宋_GBK"/>
          <w:color w:val="000000" w:themeColor="text1"/>
          <w:sz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（不足100元的按100元计算）计算支付赔偿金且采购人有权视其供货能力决定是否终止合同。</w:t>
      </w:r>
    </w:p>
    <w:p w14:paraId="6148500E">
      <w:pPr>
        <w:numPr>
          <w:ilvl w:val="-1"/>
          <w:numId w:val="0"/>
        </w:numPr>
        <w:spacing w:line="240" w:lineRule="auto"/>
        <w:ind w:firstLine="562" w:firstLineChars="200"/>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2.交货地点：</w:t>
      </w:r>
      <w:r>
        <w:rPr>
          <w:rFonts w:hint="eastAsia" w:ascii="方正仿宋_GBK" w:hAnsi="方正仿宋_GBK" w:eastAsia="方正仿宋_GBK" w:cs="方正仿宋_GBK"/>
          <w:color w:val="000000" w:themeColor="text1"/>
          <w:sz w:val="24"/>
          <w:szCs w:val="24"/>
          <w14:textFill>
            <w14:solidFill>
              <w14:schemeClr w14:val="tx1"/>
            </w14:solidFill>
          </w14:textFill>
        </w:rPr>
        <w:t>重庆医科大学附属康复医院内（</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各院区</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现场指定位置。</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配合采购人使用采购人统一订货平台，逐步实现平台下单。</w:t>
      </w:r>
    </w:p>
    <w:p w14:paraId="039E1CC9">
      <w:pPr>
        <w:numPr>
          <w:ilvl w:val="-1"/>
          <w:numId w:val="0"/>
        </w:numPr>
        <w:spacing w:line="240" w:lineRule="auto"/>
        <w:ind w:firstLine="562"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bCs/>
          <w:strike w:val="0"/>
          <w:color w:val="000000" w:themeColor="text1"/>
          <w:sz w:val="28"/>
          <w:szCs w:val="28"/>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验收方式：</w:t>
      </w:r>
      <w:r>
        <w:rPr>
          <w:rFonts w:hint="eastAsia" w:ascii="方正仿宋_GBK" w:hAnsi="方正仿宋_GBK" w:eastAsia="方正仿宋_GBK" w:cs="方正仿宋_GBK"/>
          <w:color w:val="000000" w:themeColor="text1"/>
          <w:sz w:val="24"/>
          <w:szCs w:val="24"/>
          <w14:textFill>
            <w14:solidFill>
              <w14:schemeClr w14:val="tx1"/>
            </w14:solidFill>
          </w14:textFill>
        </w:rPr>
        <w:t>由医院库管</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人员</w:t>
      </w:r>
      <w:r>
        <w:rPr>
          <w:rFonts w:hint="eastAsia" w:ascii="方正仿宋_GBK" w:hAnsi="方正仿宋_GBK" w:eastAsia="方正仿宋_GBK" w:cs="方正仿宋_GBK"/>
          <w:color w:val="000000" w:themeColor="text1"/>
          <w:sz w:val="24"/>
          <w:szCs w:val="24"/>
          <w14:textFill>
            <w14:solidFill>
              <w14:schemeClr w14:val="tx1"/>
            </w14:solidFill>
          </w14:textFill>
        </w:rPr>
        <w:t>按照医院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制度和</w:t>
      </w:r>
      <w:r>
        <w:rPr>
          <w:rFonts w:hint="eastAsia" w:ascii="方正仿宋_GBK" w:hAnsi="方正仿宋_GBK" w:eastAsia="方正仿宋_GBK" w:cs="方正仿宋_GBK"/>
          <w:color w:val="000000" w:themeColor="text1"/>
          <w:sz w:val="24"/>
          <w:szCs w:val="24"/>
          <w14:textFill>
            <w14:solidFill>
              <w14:schemeClr w14:val="tx1"/>
            </w14:solidFill>
          </w14:textFill>
        </w:rPr>
        <w:t>要求负责组织货物验收。</w:t>
      </w:r>
    </w:p>
    <w:p w14:paraId="5FCF9028">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常规耗材送达采购人库房后，</w:t>
      </w:r>
      <w:bookmarkStart w:id="72" w:name="OLE_LINK9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供应商应在采购人相关人员在场情况下当面开箱，凭送货清单共同清点，检查包装、外观等后入库。</w:t>
      </w:r>
    </w:p>
    <w:p w14:paraId="389FD2C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中标（成交）供应商应保证货物到达用户所在地完好无损，如有缺漏、损坏，由中标（成交）供应商负责免费更换、补齐或赔偿。若包装出现破损立即替换，一切满足临床需求。</w:t>
      </w:r>
    </w:p>
    <w:p w14:paraId="0A5A2E6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bookmarkStart w:id="73" w:name="OLE_LINK8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3"/>
      <w:r>
        <w:rPr>
          <w:rFonts w:hint="eastAsia" w:ascii="方正仿宋_GBK" w:hAnsi="方正仿宋_GBK" w:eastAsia="方正仿宋_GBK" w:cs="方正仿宋_GBK"/>
          <w:color w:val="000000" w:themeColor="text1"/>
          <w:sz w:val="24"/>
          <w:lang w:val="en-US" w:eastAsia="zh-CN"/>
          <w14:textFill>
            <w14:solidFill>
              <w14:schemeClr w14:val="tx1"/>
            </w14:solidFill>
          </w14:textFill>
        </w:rPr>
        <w:t>提供的货物未达到合同、招标文件规定要求以及投标文件承诺，且对采购人造成损失的，由中标（成交）供应商承担一切责任并赔偿所造成的损失。</w:t>
      </w:r>
    </w:p>
    <w:p w14:paraId="6D99AC53">
      <w:pPr>
        <w:numPr>
          <w:ilvl w:val="-1"/>
          <w:numId w:val="0"/>
        </w:numPr>
        <w:spacing w:line="240" w:lineRule="auto"/>
        <w:ind w:firstLine="560" w:firstLineChars="200"/>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采购人需要中标（成交）供应商出具产品的合格证、检测报告或其他有关材料的，中标（成交）供应商须及时提供；</w:t>
      </w:r>
      <w:bookmarkStart w:id="74" w:name="OLE_LINK8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供应商需要厂家对中标（成交）供应商交付的产品（包括质量、技术参数等）进行确认的，厂家应予以配合，并出具书面意见。</w:t>
      </w:r>
    </w:p>
    <w:p w14:paraId="0EE8880F">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三、报价要求</w:t>
      </w:r>
    </w:p>
    <w:p w14:paraId="05816FD2">
      <w:pPr>
        <w:bidi w:val="0"/>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按照附件一自行填写</w:t>
      </w:r>
    </w:p>
    <w:p w14:paraId="0A48F6C8">
      <w:pPr>
        <w:bidi w:val="0"/>
        <w:spacing w:line="24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1.本次报价须为人民币报价，</w:t>
      </w:r>
      <w:r>
        <w:rPr>
          <w:rFonts w:hint="eastAsia" w:ascii="方正仿宋_GBK" w:hAnsi="方正仿宋_GBK" w:eastAsia="方正仿宋_GBK" w:cs="方正仿宋_GBK"/>
          <w:color w:val="000000" w:themeColor="text1"/>
          <w:sz w:val="24"/>
          <w:szCs w:val="24"/>
          <w14:textFill>
            <w14:solidFill>
              <w14:schemeClr w14:val="tx1"/>
            </w14:solidFill>
          </w14:textFill>
        </w:rPr>
        <w:t>实行综合单价固定包干，</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但不限于完成本项目所需的产品设备或货物购买（制造）费、辅材费、运输费（含装卸费）、保险费、税费、开发费、培训费等货到采购人指定地点和完成本项目的所有费用。因投标人自身原因造成漏报、少报皆由其自行承担责任，采购人不再补偿。</w:t>
      </w:r>
    </w:p>
    <w:p w14:paraId="5D71F79C">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w:t>
      </w:r>
      <w:r>
        <w:rPr>
          <w:rFonts w:hint="eastAsia" w:ascii="方正仿宋_GBK" w:hAnsi="方正仿宋_GBK" w:eastAsia="方正仿宋_GBK" w:cs="方正仿宋_GBK"/>
          <w:color w:val="000000" w:themeColor="text1"/>
          <w:sz w:val="24"/>
          <w:szCs w:val="24"/>
          <w14:textFill>
            <w14:solidFill>
              <w14:schemeClr w14:val="tx1"/>
            </w14:solidFill>
          </w14:textFill>
        </w:rPr>
        <w:t>在药交所平台进行采购，</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则</w:t>
      </w:r>
      <w:r>
        <w:rPr>
          <w:rFonts w:hint="eastAsia" w:ascii="方正仿宋_GBK" w:hAnsi="方正仿宋_GBK" w:eastAsia="方正仿宋_GBK" w:cs="方正仿宋_GBK"/>
          <w:color w:val="000000" w:themeColor="text1"/>
          <w:sz w:val="24"/>
          <w:szCs w:val="24"/>
          <w14:textFill>
            <w14:solidFill>
              <w14:schemeClr w14:val="tx1"/>
            </w14:solidFill>
          </w14:textFill>
        </w:rPr>
        <w:t>按重庆市药交所交易政策执行。</w:t>
      </w:r>
    </w:p>
    <w:p w14:paraId="2BD39544">
      <w:pPr>
        <w:numPr>
          <w:ilvl w:val="0"/>
          <w:numId w:val="0"/>
        </w:numPr>
        <w:bidi w:val="0"/>
        <w:spacing w:line="240" w:lineRule="auto"/>
        <w:ind w:left="0" w:leftChars="0"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3.</w:t>
      </w:r>
      <w:r>
        <w:rPr>
          <w:rFonts w:hint="eastAsia" w:ascii="方正仿宋_GBK" w:hAnsi="方正仿宋_GBK" w:eastAsia="方正仿宋_GBK" w:cs="方正仿宋_GBK"/>
          <w:color w:val="000000" w:themeColor="text1"/>
          <w:sz w:val="24"/>
          <w:szCs w:val="24"/>
          <w14:textFill>
            <w14:solidFill>
              <w14:schemeClr w14:val="tx1"/>
            </w14:solidFill>
          </w14:textFill>
        </w:rPr>
        <w:t>若药交所价格低于上述</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价格，由</w:t>
      </w:r>
      <w:bookmarkStart w:id="75" w:name="OLE_LINK45"/>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5"/>
      <w:r>
        <w:rPr>
          <w:rFonts w:hint="eastAsia" w:ascii="方正仿宋_GBK" w:hAnsi="方正仿宋_GBK" w:eastAsia="方正仿宋_GBK" w:cs="方正仿宋_GBK"/>
          <w:color w:val="000000" w:themeColor="text1"/>
          <w:sz w:val="24"/>
          <w:szCs w:val="24"/>
          <w14:textFill>
            <w14:solidFill>
              <w14:schemeClr w14:val="tx1"/>
            </w14:solidFill>
          </w14:textFill>
        </w:rPr>
        <w:t>自行调价，并向</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提交正式书面材料；若一经发现</w:t>
      </w:r>
      <w:bookmarkStart w:id="76" w:name="OLE_LINK46"/>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6"/>
      <w:r>
        <w:rPr>
          <w:rFonts w:hint="eastAsia" w:ascii="方正仿宋_GBK" w:hAnsi="方正仿宋_GBK" w:eastAsia="方正仿宋_GBK" w:cs="方正仿宋_GBK"/>
          <w:color w:val="000000" w:themeColor="text1"/>
          <w:sz w:val="24"/>
          <w:szCs w:val="24"/>
          <w14:textFill>
            <w14:solidFill>
              <w14:schemeClr w14:val="tx1"/>
            </w14:solidFill>
          </w14:textFill>
        </w:rPr>
        <w:t>未及时随药交所平台价格波动调低价格，</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有权按药交所当日低价追溯支付</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最近6个月供货款。</w:t>
      </w:r>
    </w:p>
    <w:p w14:paraId="19671C9D">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4.耗材、试剂报价包含所有质控品与校准品。通过药交所平台采购时，所有耗材、试剂不高于药交所价格，采购时价格与合同对比按照就低不就高原则。</w:t>
      </w:r>
    </w:p>
    <w:p w14:paraId="66A06A39">
      <w:pPr>
        <w:pStyle w:val="5"/>
        <w:numPr>
          <w:ilvl w:val="0"/>
          <w:numId w:val="0"/>
        </w:numPr>
        <w:spacing w:line="240" w:lineRule="auto"/>
        <w:ind w:firstLine="48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质量保证及售后服务</w:t>
      </w:r>
    </w:p>
    <w:p w14:paraId="10924B16">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1.产品必须是全新的，原厂合格产品，出厂日期至到货日期</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距离时间不能超过该产品质保时间的1/4</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。所有产品效期失效后，中标（成交）供应商将无条件更换。因产品质量问题导致的医疗纠纷的赔偿损失由中标（成交）供应商承担。</w:t>
      </w:r>
    </w:p>
    <w:p w14:paraId="234860E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2.中标（成交）供应商所提供的产品必须在产品效期内，否则采购人有权拒收产品，并按延期交货处理。产品有效期1年内（含1年）的，距有效期结束4个月内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无偿更换新效期产品或退货；产品有效期超过1年的，距有效期结束6个月内，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w:t>
      </w:r>
    </w:p>
    <w:p w14:paraId="7F832413">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3.包装及相应标识必须符合国际、国家对其特性和远距离运输要求等相关规定。一切因包装、运输（包括场内转运）不当引起的损失由中标（成交）供应商承担。</w:t>
      </w:r>
    </w:p>
    <w:p w14:paraId="619A5358">
      <w:pPr>
        <w:pStyle w:val="5"/>
        <w:numPr>
          <w:ilvl w:val="0"/>
          <w:numId w:val="0"/>
        </w:numPr>
        <w:spacing w:line="240" w:lineRule="auto"/>
        <w:ind w:firstLine="480" w:firstLineChars="20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4.耗材使用有效期视</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从货品生产之日起算</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，有效期内因产品质量出现破损、变质、发霉等问题，中标（成交）供应商应无条件更换。</w:t>
      </w:r>
    </w:p>
    <w:p w14:paraId="5D5E6870">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.售后服务内容：供应商应提供7*24小时不间断响应：承诺1小时以内响应，1个工作日内解决问题。</w:t>
      </w:r>
    </w:p>
    <w:p w14:paraId="6D46E194">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.产品授权的期限如到期后，未取得新授权，若已中标或已签订供应合同，中标资格或者合同将自动终止。一切责任由投标人自行承担。</w:t>
      </w:r>
      <w:bookmarkStart w:id="77" w:name="_Toc24051"/>
    </w:p>
    <w:p w14:paraId="3660A048">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.合同有效期内，除不可抗力因素外价格不能上涨。</w:t>
      </w:r>
      <w:bookmarkEnd w:id="77"/>
    </w:p>
    <w:p w14:paraId="20303F9A">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14:textFill>
            <w14:solidFill>
              <w14:schemeClr w14:val="tx1"/>
            </w14:solidFill>
          </w14:textFill>
        </w:rPr>
        <w:t>8.</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属于国家“三包”政策规定范围的，其产品质量保证期不得低于国家“三包”政策规定。</w:t>
      </w:r>
    </w:p>
    <w:p w14:paraId="7A3E3C5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9.投标供应商的质量保证期承诺优于国家“三包”政策规定的，按投标供应商实际承诺执行。</w:t>
      </w:r>
    </w:p>
    <w:p w14:paraId="05C26851">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五、付款方式</w:t>
      </w:r>
    </w:p>
    <w:p w14:paraId="28A87F31">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本次耗材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采购无预付款</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，无履约保证金</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558606EA">
      <w:pPr>
        <w:tabs>
          <w:tab w:val="left" w:pos="630"/>
          <w:tab w:val="left" w:pos="1050"/>
          <w:tab w:val="left" w:pos="1470"/>
        </w:tabs>
        <w:adjustRightInd w:val="0"/>
        <w:snapToGrid w:val="0"/>
        <w:spacing w:line="240" w:lineRule="auto"/>
        <w:ind w:firstLine="520" w:firstLineChars="217"/>
        <w:rPr>
          <w:rFonts w:hint="eastAsia"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从重庆药交所交易平台交易的，按重庆市药交所交易政策执行；非药交所交易平台交易的，从实际履行供货之日算起，下个月开始支付货款，由此循环支付。</w:t>
      </w:r>
      <w:r>
        <w:rPr>
          <w:rFonts w:hint="eastAsia" w:eastAsia="方正仿宋_GBK"/>
          <w:color w:val="000000" w:themeColor="text1"/>
          <w:sz w:val="24"/>
          <w:szCs w:val="24"/>
          <w:lang w:val="en-US" w:eastAsia="zh-CN"/>
          <w14:textFill>
            <w14:solidFill>
              <w14:schemeClr w14:val="tx1"/>
            </w14:solidFill>
          </w14:textFill>
        </w:rPr>
        <w:t>如</w:t>
      </w:r>
      <w:r>
        <w:rPr>
          <w:rFonts w:hint="eastAsia" w:eastAsia="方正仿宋_GBK"/>
          <w:color w:val="000000" w:themeColor="text1"/>
          <w:sz w:val="24"/>
          <w:szCs w:val="24"/>
          <w:u w:val="none"/>
          <w:lang w:val="en-US" w:eastAsia="zh-CN"/>
          <w14:textFill>
            <w14:solidFill>
              <w14:schemeClr w14:val="tx1"/>
            </w14:solidFill>
          </w14:textFill>
        </w:rPr>
        <w:t>遇特殊情况，经双方协商达成一致，可适当顺延付</w:t>
      </w:r>
      <w:r>
        <w:rPr>
          <w:rFonts w:hint="eastAsia" w:eastAsia="方正仿宋_GBK"/>
          <w:color w:val="000000" w:themeColor="text1"/>
          <w:sz w:val="24"/>
          <w:szCs w:val="24"/>
          <w:lang w:val="en-US" w:eastAsia="zh-CN"/>
          <w14:textFill>
            <w14:solidFill>
              <w14:schemeClr w14:val="tx1"/>
            </w14:solidFill>
          </w14:textFill>
        </w:rPr>
        <w:t>款。</w:t>
      </w:r>
    </w:p>
    <w:p w14:paraId="6DFCE078">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申请付款资料包含：相应金额的发票、库管签字的送货单以及院内入库单。</w:t>
      </w:r>
    </w:p>
    <w:p w14:paraId="0492E8D9">
      <w:pPr>
        <w:tabs>
          <w:tab w:val="left" w:pos="630"/>
          <w:tab w:val="left" w:pos="1050"/>
          <w:tab w:val="left" w:pos="1470"/>
        </w:tabs>
        <w:adjustRightInd w:val="0"/>
        <w:snapToGrid w:val="0"/>
        <w:spacing w:line="240" w:lineRule="auto"/>
        <w:ind w:firstLine="520" w:firstLineChars="217"/>
        <w:rPr>
          <w:rFonts w:hint="default"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因</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提供虚假付款证明文件，</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有权拒绝付款并不承担违约责任。</w:t>
      </w:r>
    </w:p>
    <w:p w14:paraId="3666C994">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六、其它</w:t>
      </w:r>
    </w:p>
    <w:p w14:paraId="2507719C">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1.投标人必须在资格预审文件中对以上条款和服务承诺明确列出，承诺内容必须达到本篇及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r>
        <w:rPr>
          <w:rFonts w:hint="eastAsia" w:ascii="方正仿宋_GBK" w:hAnsi="方正仿宋_GBK" w:eastAsia="方正仿宋_GBK" w:cs="方正仿宋_GBK"/>
          <w:color w:val="000000" w:themeColor="text1"/>
          <w:sz w:val="24"/>
          <w:szCs w:val="24"/>
          <w14:textFill>
            <w14:solidFill>
              <w14:schemeClr w14:val="tx1"/>
            </w14:solidFill>
          </w14:textFill>
        </w:rPr>
        <w:t>文件其他条款的要求。</w:t>
      </w:r>
    </w:p>
    <w:p w14:paraId="678FF98F">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其他未尽事宜由供需双方在</w:t>
      </w:r>
      <w:r>
        <w:rPr>
          <w:rFonts w:hint="eastAsia" w:ascii="方正仿宋_GBK" w:hAnsi="方正仿宋_GBK" w:eastAsia="方正仿宋_GBK" w:cs="方正仿宋_GBK"/>
          <w:b/>
          <w:bCs/>
          <w:strike w:val="0"/>
          <w:dstrike w:val="0"/>
          <w:color w:val="000000" w:themeColor="text1"/>
          <w:sz w:val="24"/>
          <w:szCs w:val="24"/>
          <w:highlight w:val="none"/>
          <w:u w:val="single"/>
          <w:lang w:eastAsia="zh-CN"/>
          <w14:textFill>
            <w14:solidFill>
              <w14:schemeClr w14:val="tx1"/>
            </w14:solidFill>
          </w14:textFill>
        </w:rPr>
        <w:t>购销</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合同中详细约定，投标人在投标文件中所承诺的所有经济、技术和商务条款</w:t>
      </w:r>
      <w:r>
        <w:rPr>
          <w:rFonts w:hint="eastAsia" w:ascii="方正仿宋_GBK" w:hAnsi="方正仿宋_GBK" w:eastAsia="方正仿宋_GBK" w:cs="方正仿宋_GBK"/>
          <w:b/>
          <w:bCs/>
          <w:color w:val="000000" w:themeColor="text1"/>
          <w:sz w:val="24"/>
          <w:szCs w:val="24"/>
          <w:u w:val="single"/>
          <w:lang w:eastAsia="zh-CN"/>
          <w14:textFill>
            <w14:solidFill>
              <w14:schemeClr w14:val="tx1"/>
            </w14:solidFill>
          </w14:textFill>
        </w:rPr>
        <w:t>均会</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纳入成交合同中。</w:t>
      </w:r>
    </w:p>
    <w:p w14:paraId="6861D791">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3.如中标人因违反或不履行投标时承诺的商务和服务要求时，采购人有权按照相关法律法规的规定，取消</w:t>
      </w:r>
      <w:bookmarkStart w:id="78" w:name="OLE_LINK19"/>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bookmarkEnd w:id="78"/>
      <w:r>
        <w:rPr>
          <w:rFonts w:hint="eastAsia" w:ascii="方正仿宋_GBK" w:hAnsi="方正仿宋_GBK" w:eastAsia="方正仿宋_GBK" w:cs="方正仿宋_GBK"/>
          <w:color w:val="000000" w:themeColor="text1"/>
          <w:sz w:val="24"/>
          <w:szCs w:val="24"/>
          <w14:textFill>
            <w14:solidFill>
              <w14:schemeClr w14:val="tx1"/>
            </w14:solidFill>
          </w14:textFill>
        </w:rPr>
        <w:t>文件约定的中标人中标资格，以及按相关法规对其进行处罚。</w:t>
      </w:r>
    </w:p>
    <w:p w14:paraId="17049265">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4.遴选公告、中标人的报价文件及有效承诺文件等，均为签订合同的依据，是合同不可分割的一部分。</w:t>
      </w:r>
    </w:p>
    <w:p w14:paraId="2EDA6FC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5.追溯码要求:植入类材料必须有对应的唯一追溯码，至少可追溯至生产批次。追溯标签上应至少包含品牌、规格型号、生产日期（生产批次）、有效期、唯一追溯码等信息。</w:t>
      </w:r>
    </w:p>
    <w:p w14:paraId="13CB3AF3">
      <w:pPr>
        <w:spacing w:line="240" w:lineRule="auto"/>
        <w:ind w:firstLine="48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24"/>
          <w:szCs w:val="24"/>
          <w14:textFill>
            <w14:solidFill>
              <w14:schemeClr w14:val="tx1"/>
            </w14:solidFill>
          </w14:textFill>
        </w:rPr>
        <w:t>.供应商在投标时，应</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根据采购人需求</w:t>
      </w:r>
      <w:r>
        <w:rPr>
          <w:rFonts w:hint="eastAsia" w:ascii="方正仿宋_GBK" w:hAnsi="方正仿宋_GBK" w:eastAsia="方正仿宋_GBK" w:cs="方正仿宋_GBK"/>
          <w:color w:val="000000" w:themeColor="text1"/>
          <w:sz w:val="24"/>
          <w:szCs w:val="24"/>
          <w14:textFill>
            <w14:solidFill>
              <w14:schemeClr w14:val="tx1"/>
            </w14:solidFill>
          </w14:textFill>
        </w:rPr>
        <w:t>提供品牌最新系列产品</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主流系列产品</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可以同时提供，并提供</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产品</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报价，不得提供技术落后的过时系列产品。</w:t>
      </w:r>
    </w:p>
    <w:p w14:paraId="570FC88D">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24"/>
          <w:szCs w:val="24"/>
          <w14:textFill>
            <w14:solidFill>
              <w14:schemeClr w14:val="tx1"/>
            </w14:solidFill>
          </w14:textFill>
        </w:rPr>
        <w:t>.若投标产品属于医疗器械暂未在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重庆市</w:t>
      </w:r>
      <w:r>
        <w:rPr>
          <w:rFonts w:hint="eastAsia" w:ascii="方正仿宋_GBK" w:hAnsi="方正仿宋_GBK" w:eastAsia="方正仿宋_GBK" w:cs="方正仿宋_GBK"/>
          <w:color w:val="000000" w:themeColor="text1"/>
          <w:sz w:val="24"/>
          <w:szCs w:val="24"/>
          <w14:textFill>
            <w14:solidFill>
              <w14:schemeClr w14:val="tx1"/>
            </w14:solidFill>
          </w14:textFill>
        </w:rPr>
        <w:t>药交所挂网，承诺1个月内完成挂网。</w:t>
      </w:r>
    </w:p>
    <w:p w14:paraId="306BAA6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24"/>
          <w:szCs w:val="24"/>
          <w14:textFill>
            <w14:solidFill>
              <w14:schemeClr w14:val="tx1"/>
            </w14:solidFill>
          </w14:textFill>
        </w:rPr>
        <w:t>.合同周期内产品若上级要求纳入集中带量采购，则中标人须无条件响应要求，按照集中带量采购政策执行。</w:t>
      </w:r>
    </w:p>
    <w:p w14:paraId="7CBE9367">
      <w:pPr>
        <w:pStyle w:val="3"/>
        <w:numPr>
          <w:ilvl w:val="0"/>
          <w:numId w:val="0"/>
        </w:numPr>
        <w:spacing w:before="200" w:after="200"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bookmarkStart w:id="79" w:name="_Toc7572"/>
      <w:bookmarkStart w:id="80" w:name="_Toc102227313"/>
      <w:bookmarkStart w:id="81" w:name="_Toc106030892"/>
      <w:bookmarkStart w:id="82" w:name="_Toc29948"/>
      <w:bookmarkStart w:id="83" w:name="_Toc76462337"/>
      <w:bookmarkStart w:id="84" w:name="OLE_LINK109"/>
      <w:r>
        <w:rPr>
          <w:rFonts w:hint="eastAsia" w:ascii="方正小标宋_GBK" w:hAnsi="方正小标宋_GBK" w:eastAsia="方正小标宋_GBK" w:cs="方正小标宋_GBK"/>
          <w:b/>
          <w:color w:val="000000" w:themeColor="text1"/>
          <w:kern w:val="2"/>
          <w:sz w:val="36"/>
          <w:szCs w:val="36"/>
          <w:lang w:val="en-US" w:eastAsia="zh-CN" w:bidi="ar-SA"/>
          <w14:textFill>
            <w14:solidFill>
              <w14:schemeClr w14:val="tx1"/>
            </w14:solidFill>
          </w14:textFill>
        </w:rPr>
        <w:t xml:space="preserve">第四篇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w:t>
      </w:r>
      <w:bookmarkStart w:id="85" w:name="OLE_LINK22"/>
      <w:bookmarkStart w:id="86" w:name="OLE_LINK68"/>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采购程序及</w:t>
      </w:r>
      <w:bookmarkEnd w:id="85"/>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方法、评审标准、</w:t>
      </w:r>
      <w:bookmarkStart w:id="87" w:name="OLE_LINK23"/>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无效响应和</w:t>
      </w:r>
      <w:bookmarkStart w:id="88" w:name="OLE_LINK2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采购终止</w:t>
      </w:r>
      <w:bookmarkEnd w:id="86"/>
    </w:p>
    <w:bookmarkEnd w:id="87"/>
    <w:bookmarkEnd w:id="88"/>
    <w:p w14:paraId="1C212841">
      <w:pPr>
        <w:adjustRightInd w:val="0"/>
        <w:snapToGrid w:val="0"/>
        <w:spacing w:line="240" w:lineRule="auto"/>
        <w:ind w:firstLine="562" w:firstLineChars="200"/>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bookmarkStart w:id="89" w:name="OLE_LINK27"/>
      <w:r>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t>采购程序及评审办法</w:t>
      </w:r>
      <w:bookmarkEnd w:id="89"/>
    </w:p>
    <w:p w14:paraId="64D79D81">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本项目采购以抽签的形式确定谈判顺序，由本项目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评审</w:t>
      </w:r>
      <w:r>
        <w:rPr>
          <w:rFonts w:hint="eastAsia" w:ascii="方正仿宋_GBK" w:hAnsi="方正仿宋_GBK" w:eastAsia="方正仿宋_GBK" w:cs="方正仿宋_GBK"/>
          <w:color w:val="000000" w:themeColor="text1"/>
          <w:sz w:val="24"/>
          <w:szCs w:val="24"/>
          <w14:textFill>
            <w14:solidFill>
              <w14:schemeClr w14:val="tx1"/>
            </w14:solidFill>
          </w14:textFill>
        </w:rPr>
        <w:t>小组分别与各供应商进行谈判。在谈判前，对各供应商的资格条件、响应文件的有效性、完整性和响应程度进行审查，审查的内容如下：</w:t>
      </w:r>
    </w:p>
    <w:p w14:paraId="56B8A840">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资格性检查是依据法律法规和采购文件的规定，对投标文件中的资格证明进行审查，以确定投标人是否具备投标资格。资格性检查资料表如下：</w:t>
      </w:r>
    </w:p>
    <w:tbl>
      <w:tblPr>
        <w:tblStyle w:val="1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4679"/>
        <w:gridCol w:w="3564"/>
      </w:tblGrid>
      <w:tr w14:paraId="577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76" w:type="dxa"/>
            <w:noWrap w:val="0"/>
            <w:vAlign w:val="center"/>
          </w:tcPr>
          <w:p w14:paraId="5E12A87B">
            <w:pPr>
              <w:spacing w:line="240" w:lineRule="exact"/>
              <w:ind w:left="0" w:leftChars="0" w:firstLine="0" w:firstLineChars="0"/>
              <w:jc w:val="cente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序号</w:t>
            </w:r>
          </w:p>
        </w:tc>
        <w:tc>
          <w:tcPr>
            <w:tcW w:w="5388" w:type="dxa"/>
            <w:gridSpan w:val="2"/>
            <w:noWrap w:val="0"/>
            <w:vAlign w:val="center"/>
          </w:tcPr>
          <w:p w14:paraId="469B64EC">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检查因素</w:t>
            </w:r>
          </w:p>
        </w:tc>
        <w:tc>
          <w:tcPr>
            <w:tcW w:w="3564" w:type="dxa"/>
            <w:noWrap w:val="0"/>
            <w:vAlign w:val="center"/>
          </w:tcPr>
          <w:p w14:paraId="6D098F5B">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检查内容</w:t>
            </w:r>
          </w:p>
        </w:tc>
      </w:tr>
      <w:tr w14:paraId="72E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676" w:type="dxa"/>
            <w:vMerge w:val="restart"/>
            <w:noWrap w:val="0"/>
            <w:vAlign w:val="center"/>
          </w:tcPr>
          <w:p w14:paraId="2B6E5BAF">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709" w:type="dxa"/>
            <w:vMerge w:val="restart"/>
            <w:noWrap w:val="0"/>
            <w:vAlign w:val="center"/>
          </w:tcPr>
          <w:p w14:paraId="2BA3314E">
            <w:pPr>
              <w:spacing w:line="240" w:lineRule="exact"/>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应符合的基本资格条件</w:t>
            </w:r>
          </w:p>
        </w:tc>
        <w:tc>
          <w:tcPr>
            <w:tcW w:w="4679" w:type="dxa"/>
            <w:noWrap w:val="0"/>
            <w:vAlign w:val="center"/>
          </w:tcPr>
          <w:p w14:paraId="5264F2CF">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（1）具有独立承担民事责任的能力</w:t>
            </w:r>
          </w:p>
        </w:tc>
        <w:tc>
          <w:tcPr>
            <w:tcW w:w="3564" w:type="dxa"/>
            <w:noWrap w:val="0"/>
            <w:vAlign w:val="center"/>
          </w:tcPr>
          <w:p w14:paraId="740A381E">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营业执照、税务登记证、组织机构代码证复印件加盖鲜章（或“三证合一”营业执照）</w:t>
            </w:r>
          </w:p>
          <w:p w14:paraId="25008EA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和法定代表人授权代表委托书；（法定代表人参加竞标活动并签署文件的不需要授权委托书，只需提供法定代表人身份证明；非法定代表人参加竞标活动及签署文件的除提供法定代表人身份证明外还须提供授权委托书）</w:t>
            </w:r>
          </w:p>
        </w:tc>
      </w:tr>
      <w:tr w14:paraId="3CA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trPr>
        <w:tc>
          <w:tcPr>
            <w:tcW w:w="676" w:type="dxa"/>
            <w:vMerge w:val="continue"/>
            <w:noWrap w:val="0"/>
            <w:vAlign w:val="center"/>
          </w:tcPr>
          <w:p w14:paraId="3BE560D0">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365A234">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9287879">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具有良好的商业信誉和健全的财务会计制度</w:t>
            </w:r>
          </w:p>
        </w:tc>
        <w:tc>
          <w:tcPr>
            <w:tcW w:w="3564" w:type="dxa"/>
            <w:vMerge w:val="restart"/>
            <w:noWrap w:val="0"/>
            <w:vAlign w:val="center"/>
          </w:tcPr>
          <w:p w14:paraId="487324A6">
            <w:pPr>
              <w:spacing w:line="240" w:lineRule="exact"/>
              <w:rPr>
                <w:rFonts w:hint="eastAsia" w:ascii="方正仿宋_GBK" w:hAnsi="方正仿宋_GBK" w:eastAsia="方正仿宋_GBK" w:cs="方正仿宋_GBK"/>
                <w:strike w:val="0"/>
                <w:dstrike w:val="0"/>
                <w:color w:val="auto"/>
                <w:sz w:val="24"/>
                <w:szCs w:val="24"/>
                <w:lang w:val="en-US" w:eastAsia="zh-CN"/>
              </w:rPr>
            </w:pPr>
            <w:r>
              <w:rPr>
                <w:rFonts w:hint="eastAsia" w:ascii="方正仿宋_GBK" w:hAnsi="方正仿宋_GBK" w:eastAsia="方正仿宋_GBK" w:cs="方正仿宋_GBK"/>
                <w:color w:val="auto"/>
                <w:sz w:val="24"/>
                <w:szCs w:val="24"/>
              </w:rPr>
              <w:t>投标人提供“基本资格条件承诺函”（</w:t>
            </w:r>
            <w:r>
              <w:rPr>
                <w:rFonts w:hint="eastAsia" w:ascii="方正仿宋_GBK" w:hAnsi="方正仿宋_GBK" w:eastAsia="方正仿宋_GBK" w:cs="方正仿宋_GBK"/>
                <w:strike w:val="0"/>
                <w:dstrike w:val="0"/>
                <w:color w:val="auto"/>
                <w:sz w:val="24"/>
                <w:szCs w:val="24"/>
                <w:lang w:val="en-US" w:eastAsia="zh-CN"/>
              </w:rPr>
              <w:t>见第六篇 响应文件格式模板）</w:t>
            </w:r>
          </w:p>
          <w:p w14:paraId="5575037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FC3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76" w:type="dxa"/>
            <w:vMerge w:val="continue"/>
            <w:noWrap w:val="0"/>
            <w:vAlign w:val="center"/>
          </w:tcPr>
          <w:p w14:paraId="54E26E4C">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05C073D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3FFB850D">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（3）具有履行合同所必需的设备和专业技术能力</w:t>
            </w:r>
          </w:p>
        </w:tc>
        <w:tc>
          <w:tcPr>
            <w:tcW w:w="3564" w:type="dxa"/>
            <w:vMerge w:val="continue"/>
            <w:noWrap w:val="0"/>
            <w:vAlign w:val="center"/>
          </w:tcPr>
          <w:p w14:paraId="4574ECF8">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738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676" w:type="dxa"/>
            <w:vMerge w:val="continue"/>
            <w:noWrap w:val="0"/>
            <w:vAlign w:val="center"/>
          </w:tcPr>
          <w:p w14:paraId="6B918D4A">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508B4B46">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7DF0918">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（4）有依法缴纳税收和社会保障金的良好记录</w:t>
            </w:r>
          </w:p>
        </w:tc>
        <w:tc>
          <w:tcPr>
            <w:tcW w:w="3564" w:type="dxa"/>
            <w:vMerge w:val="continue"/>
            <w:noWrap w:val="0"/>
            <w:vAlign w:val="center"/>
          </w:tcPr>
          <w:p w14:paraId="4FC947A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D8B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E28E7A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146DB10F">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64F1E9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（5）参加政府采购活动前三年内，在经营活动中没有重大违法记录</w:t>
            </w:r>
          </w:p>
        </w:tc>
        <w:tc>
          <w:tcPr>
            <w:tcW w:w="3564" w:type="dxa"/>
            <w:vMerge w:val="continue"/>
            <w:noWrap w:val="0"/>
            <w:vAlign w:val="center"/>
          </w:tcPr>
          <w:p w14:paraId="4CFF06B3">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47CC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19B526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0DE832E">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00B5A77">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（6）法律、行政法规规定的其他条件</w:t>
            </w:r>
          </w:p>
        </w:tc>
        <w:tc>
          <w:tcPr>
            <w:tcW w:w="3564" w:type="dxa"/>
            <w:vMerge w:val="continue"/>
            <w:noWrap w:val="0"/>
            <w:vAlign w:val="center"/>
          </w:tcPr>
          <w:p w14:paraId="04E1111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384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676" w:type="dxa"/>
            <w:noWrap w:val="0"/>
            <w:vAlign w:val="center"/>
          </w:tcPr>
          <w:p w14:paraId="65BAF243">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p>
        </w:tc>
        <w:tc>
          <w:tcPr>
            <w:tcW w:w="5388" w:type="dxa"/>
            <w:gridSpan w:val="2"/>
            <w:noWrap w:val="0"/>
            <w:vAlign w:val="center"/>
          </w:tcPr>
          <w:p w14:paraId="40A91514">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特定资格条件</w:t>
            </w:r>
          </w:p>
        </w:tc>
        <w:tc>
          <w:tcPr>
            <w:tcW w:w="3564" w:type="dxa"/>
            <w:noWrap w:val="0"/>
            <w:vAlign w:val="center"/>
          </w:tcPr>
          <w:p w14:paraId="70664755">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第一篇</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、投标人资格要求（二）特定资格条件”</w:t>
            </w:r>
            <w:r>
              <w:rPr>
                <w:rFonts w:hint="eastAsia" w:ascii="方正仿宋_GBK" w:hAnsi="方正仿宋_GBK" w:eastAsia="方正仿宋_GBK" w:cs="方正仿宋_GBK"/>
                <w:color w:val="000000" w:themeColor="text1"/>
                <w:sz w:val="24"/>
                <w:szCs w:val="24"/>
                <w14:textFill>
                  <w14:solidFill>
                    <w14:schemeClr w14:val="tx1"/>
                  </w14:solidFill>
                </w14:textFill>
              </w:rPr>
              <w:t>要求的证明材料</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或相关承诺的复印件加盖公章</w:t>
            </w:r>
          </w:p>
        </w:tc>
      </w:tr>
    </w:tbl>
    <w:p w14:paraId="10459717">
      <w:pPr>
        <w:snapToGrid w:val="0"/>
        <w:spacing w:line="240" w:lineRule="auto"/>
        <w:ind w:firstLine="480" w:firstLineChars="20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符合性检查是依据谈判文件的规定，从投标文件的有效性、完整性和对采购文件的响应程度进行审查，以确定投标人是否对采购文件的实质性要求作出响应。符合性检查资料表如下：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46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75" w:type="dxa"/>
            <w:noWrap w:val="0"/>
            <w:vAlign w:val="center"/>
          </w:tcPr>
          <w:p w14:paraId="740AD20F">
            <w:pPr>
              <w:spacing w:line="240" w:lineRule="auto"/>
              <w:ind w:left="0" w:leftChars="0" w:firstLine="0" w:firstLineChars="0"/>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w:t>
            </w:r>
            <w:r>
              <w:rPr>
                <w:rFonts w:hint="eastAsia" w:ascii="方正仿宋_GBK" w:hAnsi="方正仿宋_GBK" w:eastAsia="方正仿宋_GBK" w:cs="方正仿宋_GBK"/>
                <w:b/>
                <w:color w:val="000000" w:themeColor="text1"/>
                <w:kern w:val="0"/>
                <w:sz w:val="24"/>
                <w:szCs w:val="24"/>
                <w14:textFill>
                  <w14:solidFill>
                    <w14:schemeClr w14:val="tx1"/>
                  </w14:solidFill>
                </w14:textFill>
              </w:rPr>
              <w:t>号</w:t>
            </w:r>
          </w:p>
        </w:tc>
        <w:tc>
          <w:tcPr>
            <w:tcW w:w="3544" w:type="dxa"/>
            <w:gridSpan w:val="2"/>
            <w:noWrap w:val="0"/>
            <w:vAlign w:val="center"/>
          </w:tcPr>
          <w:p w14:paraId="2A9B697E">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评审因素</w:t>
            </w:r>
          </w:p>
        </w:tc>
        <w:tc>
          <w:tcPr>
            <w:tcW w:w="5409" w:type="dxa"/>
            <w:noWrap w:val="0"/>
            <w:vAlign w:val="center"/>
          </w:tcPr>
          <w:p w14:paraId="25044041">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评审标准</w:t>
            </w:r>
          </w:p>
        </w:tc>
      </w:tr>
      <w:tr w14:paraId="6772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77B89C7F">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560" w:type="dxa"/>
            <w:vMerge w:val="restart"/>
            <w:noWrap w:val="0"/>
            <w:vAlign w:val="center"/>
          </w:tcPr>
          <w:p w14:paraId="5104458E">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有效性审查</w:t>
            </w:r>
          </w:p>
        </w:tc>
        <w:tc>
          <w:tcPr>
            <w:tcW w:w="1984" w:type="dxa"/>
            <w:noWrap w:val="0"/>
            <w:vAlign w:val="center"/>
          </w:tcPr>
          <w:p w14:paraId="04F0DE99">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响应文件签署</w:t>
            </w:r>
          </w:p>
        </w:tc>
        <w:tc>
          <w:tcPr>
            <w:tcW w:w="5409" w:type="dxa"/>
            <w:noWrap w:val="0"/>
            <w:vAlign w:val="center"/>
          </w:tcPr>
          <w:p w14:paraId="2AE5B842">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响应文件上法定代表人或其授权代表人的签字齐全。</w:t>
            </w:r>
          </w:p>
        </w:tc>
      </w:tr>
      <w:tr w14:paraId="5B5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continue"/>
            <w:noWrap w:val="0"/>
            <w:vAlign w:val="center"/>
          </w:tcPr>
          <w:p w14:paraId="636C3EAA">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2A12159">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22FBAE">
            <w:pPr>
              <w:spacing w:line="240" w:lineRule="auto"/>
              <w:ind w:left="0" w:leftChars="0"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w:t>
            </w:r>
          </w:p>
        </w:tc>
        <w:tc>
          <w:tcPr>
            <w:tcW w:w="5409" w:type="dxa"/>
            <w:noWrap w:val="0"/>
            <w:vAlign w:val="center"/>
          </w:tcPr>
          <w:p w14:paraId="4EB770A0">
            <w:pPr>
              <w:spacing w:line="240" w:lineRule="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法定代表人身份证明及授权委托书有效，符合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规定的格式且签章齐全。（法定代表人参加竞标活动并签署文件的不需要授权委托书，只需提供法定代表人身份证明；非法定代表人参加竞标活动及签署文件的除提供法定代表人身份证明外还须提供授权委托书）</w:t>
            </w:r>
          </w:p>
        </w:tc>
      </w:tr>
      <w:tr w14:paraId="4B6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noWrap w:val="0"/>
            <w:vAlign w:val="center"/>
          </w:tcPr>
          <w:p w14:paraId="4E27AAF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1F6A459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B61F1A3">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c>
          <w:tcPr>
            <w:tcW w:w="5409" w:type="dxa"/>
            <w:noWrap w:val="0"/>
            <w:vAlign w:val="center"/>
          </w:tcPr>
          <w:p w14:paraId="5C1DF40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项目只能有一个</w:t>
            </w: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r>
      <w:tr w14:paraId="139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2446DF2E">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3307D8E">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4E100D">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报价唯一</w:t>
            </w:r>
          </w:p>
        </w:tc>
        <w:tc>
          <w:tcPr>
            <w:tcW w:w="5409" w:type="dxa"/>
            <w:noWrap w:val="0"/>
            <w:vAlign w:val="center"/>
          </w:tcPr>
          <w:p w14:paraId="57CEAA8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只能在采购预算范围内报价，</w:t>
            </w:r>
            <w:r>
              <w:rPr>
                <w:rFonts w:hint="eastAsia" w:ascii="方正仿宋_GBK" w:hAnsi="方正仿宋_GBK" w:eastAsia="方正仿宋_GBK" w:cs="方正仿宋_GBK"/>
                <w:color w:val="000000" w:themeColor="text1"/>
                <w:sz w:val="24"/>
                <w:szCs w:val="24"/>
                <w14:textFill>
                  <w14:solidFill>
                    <w14:schemeClr w14:val="tx1"/>
                  </w14:solidFill>
                </w14:textFill>
              </w:rPr>
              <w:t>只能有一个有效报价，不得提交选择性报价。</w:t>
            </w:r>
          </w:p>
        </w:tc>
      </w:tr>
      <w:tr w14:paraId="150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noWrap w:val="0"/>
            <w:vAlign w:val="center"/>
          </w:tcPr>
          <w:p w14:paraId="07F80D9F">
            <w:pPr>
              <w:spacing w:line="240" w:lineRule="auto"/>
              <w:jc w:val="cente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pPr>
          </w:p>
          <w:p w14:paraId="07C62FFE">
            <w:pPr>
              <w:bidi w:val="0"/>
              <w:spacing w:line="240" w:lineRule="auto"/>
              <w:ind w:left="0" w:leftChars="0" w:firstLine="0" w:firstLineChars="0"/>
              <w:jc w:val="center"/>
              <w:rPr>
                <w:rFonts w:hint="default" w:ascii="Times New Roman" w:hAnsi="Times New Roman" w:eastAsia="宋体" w:cs="Times New Roman"/>
                <w:color w:val="000000" w:themeColor="text1"/>
                <w:kern w:val="2"/>
                <w:sz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lang w:val="en-US" w:eastAsia="zh-CN" w:bidi="ar-SA"/>
                <w14:textFill>
                  <w14:solidFill>
                    <w14:schemeClr w14:val="tx1"/>
                  </w14:solidFill>
                </w14:textFill>
              </w:rPr>
              <w:t>2</w:t>
            </w:r>
          </w:p>
        </w:tc>
        <w:tc>
          <w:tcPr>
            <w:tcW w:w="1560" w:type="dxa"/>
            <w:vMerge w:val="restart"/>
            <w:noWrap w:val="0"/>
            <w:vAlign w:val="center"/>
          </w:tcPr>
          <w:p w14:paraId="02EAD140">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完整性审查</w:t>
            </w:r>
          </w:p>
        </w:tc>
        <w:tc>
          <w:tcPr>
            <w:tcW w:w="1984" w:type="dxa"/>
            <w:noWrap w:val="0"/>
            <w:vAlign w:val="center"/>
          </w:tcPr>
          <w:p w14:paraId="5B28FB74">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文件份数</w:t>
            </w:r>
          </w:p>
        </w:tc>
        <w:tc>
          <w:tcPr>
            <w:tcW w:w="5409" w:type="dxa"/>
            <w:noWrap w:val="0"/>
            <w:vAlign w:val="center"/>
          </w:tcPr>
          <w:p w14:paraId="4E554D0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符合</w:t>
            </w:r>
            <w:r>
              <w:rPr>
                <w:rFonts w:hint="eastAsia" w:ascii="方正仿宋_GBK" w:hAnsi="方正仿宋_GBK" w:eastAsia="方正仿宋_GBK" w:cs="方正仿宋_GBK"/>
                <w:color w:val="000000" w:themeColor="text1"/>
                <w:sz w:val="24"/>
                <w:szCs w:val="24"/>
                <w14:textFill>
                  <w14:solidFill>
                    <w14:schemeClr w14:val="tx1"/>
                  </w14:solidFill>
                </w14:textFill>
              </w:rPr>
              <w:t>采购</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文件要求。</w:t>
            </w:r>
          </w:p>
        </w:tc>
      </w:tr>
      <w:tr w14:paraId="1F2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noWrap w:val="0"/>
            <w:vAlign w:val="center"/>
          </w:tcPr>
          <w:p w14:paraId="4E1BB16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6651B7E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49C5270E">
            <w:pPr>
              <w:spacing w:line="240" w:lineRule="auto"/>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w:t>
            </w:r>
          </w:p>
        </w:tc>
        <w:tc>
          <w:tcPr>
            <w:tcW w:w="5409" w:type="dxa"/>
            <w:noWrap w:val="0"/>
            <w:vAlign w:val="center"/>
          </w:tcPr>
          <w:p w14:paraId="6782EA37">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文件内容齐全、无遗漏。</w:t>
            </w:r>
          </w:p>
        </w:tc>
      </w:tr>
      <w:tr w14:paraId="163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3E392EAC">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560" w:type="dxa"/>
            <w:vMerge w:val="restart"/>
            <w:noWrap w:val="0"/>
            <w:vAlign w:val="center"/>
          </w:tcPr>
          <w:p w14:paraId="6C8A87F9">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采购文件的响应程度审查</w:t>
            </w:r>
          </w:p>
        </w:tc>
        <w:tc>
          <w:tcPr>
            <w:tcW w:w="1984" w:type="dxa"/>
            <w:noWrap w:val="0"/>
            <w:vAlign w:val="center"/>
          </w:tcPr>
          <w:p w14:paraId="233AE6BC">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响应文件内容</w:t>
            </w:r>
          </w:p>
        </w:tc>
        <w:tc>
          <w:tcPr>
            <w:tcW w:w="5409" w:type="dxa"/>
            <w:noWrap w:val="0"/>
            <w:vAlign w:val="center"/>
          </w:tcPr>
          <w:p w14:paraId="56176598">
            <w:pPr>
              <w:pStyle w:val="8"/>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对院内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采购文件规定的技术、服务内容全部作出响应。</w:t>
            </w:r>
          </w:p>
        </w:tc>
      </w:tr>
      <w:tr w14:paraId="2228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75" w:type="dxa"/>
            <w:vMerge w:val="continue"/>
            <w:noWrap w:val="0"/>
            <w:vAlign w:val="center"/>
          </w:tcPr>
          <w:p w14:paraId="1A23412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2EA1320C">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1984" w:type="dxa"/>
            <w:noWrap w:val="0"/>
            <w:vAlign w:val="center"/>
          </w:tcPr>
          <w:p w14:paraId="1ED999F7">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谈判有效期</w:t>
            </w:r>
          </w:p>
        </w:tc>
        <w:tc>
          <w:tcPr>
            <w:tcW w:w="5409" w:type="dxa"/>
            <w:noWrap w:val="0"/>
            <w:vAlign w:val="center"/>
          </w:tcPr>
          <w:p w14:paraId="262E5BE4">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满足谈判文件</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规定。</w:t>
            </w:r>
          </w:p>
        </w:tc>
      </w:tr>
    </w:tbl>
    <w:p w14:paraId="2FEAA12D">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w:t>
      </w:r>
      <w:r>
        <w:rPr>
          <w:rFonts w:hint="eastAsia" w:ascii="方正仿宋_GBK" w:hAnsi="方正仿宋_GBK" w:eastAsia="方正仿宋_GBK" w:cs="方正仿宋_GBK"/>
          <w:color w:val="000000" w:themeColor="text1"/>
          <w:sz w:val="24"/>
          <w:szCs w:val="24"/>
          <w14:textFill>
            <w14:solidFill>
              <w14:schemeClr w14:val="tx1"/>
            </w14:solidFill>
          </w14:textFill>
        </w:rPr>
        <w:t>小组对所有审查（资格性检查、符合性检查）合格的投标报价、业绩、</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14:textFill>
            <w14:solidFill>
              <w14:schemeClr w14:val="tx1"/>
            </w14:solidFill>
          </w14:textFill>
        </w:rPr>
        <w:t>能力进行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审查</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4ED34C9A">
      <w:pPr>
        <w:adjustRightInd w:val="0"/>
        <w:snapToGrid w:val="0"/>
        <w:spacing w:line="240" w:lineRule="auto"/>
        <w:ind w:firstLine="562" w:firstLineChars="200"/>
        <w:rPr>
          <w:b/>
          <w:bCs/>
          <w:color w:val="000000" w:themeColor="text1"/>
          <w:sz w:val="24"/>
          <w:szCs w:val="24"/>
          <w14:textFill>
            <w14:solidFill>
              <w14:schemeClr w14:val="tx1"/>
            </w14:solidFill>
          </w14:textFill>
        </w:rPr>
      </w:pPr>
      <w:bookmarkStart w:id="90" w:name="OLE_LINK28"/>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bookmarkEnd w:id="90"/>
    <w:p w14:paraId="393BFB72">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评审小组成员根据合法、安全、有效、适宜、经济的原则，结合医院在用医用耗材情况，开展综合评定，并如实记录评审结果。医保目录内或重庆市药交平台挂网交易优先、质优价廉优先、性价比高优先。</w:t>
      </w:r>
    </w:p>
    <w:p w14:paraId="433DA75D">
      <w:pPr>
        <w:keepNext w:val="0"/>
        <w:keepLines w:val="0"/>
        <w:widowControl/>
        <w:numPr>
          <w:ilvl w:val="0"/>
          <w:numId w:val="0"/>
        </w:numPr>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三、</w:t>
      </w:r>
      <w:bookmarkStart w:id="91" w:name="OLE_LINK29"/>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无效响应</w:t>
      </w:r>
      <w:bookmarkEnd w:id="91"/>
    </w:p>
    <w:p w14:paraId="32AEE74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投标人或其投标文件出现下列情况之一者，应为无效投标：</w:t>
      </w:r>
    </w:p>
    <w:p w14:paraId="10035F3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（一）投标人未在投标保证金到账截止时间前提交足额投标保证金的；</w:t>
      </w:r>
    </w:p>
    <w:p w14:paraId="60ED25E4">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（二）投标人未通过资格性检查或投标文件未通过符合性检查的；</w:t>
      </w:r>
    </w:p>
    <w:p w14:paraId="4A06BCF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（三）投标人超出其营业执照或事业单位法人证书上经营范围（业务范围）投标的；</w:t>
      </w:r>
    </w:p>
    <w:p w14:paraId="1A303D5D">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（四）单位负责人为同一人或者存在直接控股、管理关系的不同供应商，不得参加同一合同项下的政府采购活动，上述投标人的投标均无效；</w:t>
      </w:r>
    </w:p>
    <w:p w14:paraId="39F1F6C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（五）为采购项目提供整体设计、规范编制或者项目管理、监理、检测等服务的供应商，再参加该采购项目的其他采购活动的；</w:t>
      </w:r>
    </w:p>
    <w:p w14:paraId="349E3A7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（六）投标文件未按照</w:t>
      </w:r>
      <w:bookmarkStart w:id="92" w:name="OLE_LINK13"/>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遴选采购</w:t>
      </w:r>
      <w:bookmarkEnd w:id="92"/>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文件第五篇、第六篇投标文件格式中所规定签字、盖章的；</w:t>
      </w:r>
    </w:p>
    <w:p w14:paraId="0EA8275B">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（七）投标文件出现多个投标方案或投标报价的；</w:t>
      </w:r>
    </w:p>
    <w:p w14:paraId="731225F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（八）投标报价超出招标文件规定的采购预算的；</w:t>
      </w:r>
    </w:p>
    <w:p w14:paraId="7BADBB36">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（九）投标产品不符合必须强制执行的国家标准的；</w:t>
      </w:r>
    </w:p>
    <w:p w14:paraId="6315BFA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（十）投标人的实施时间、质量保证期及投标有效期不满足招标文件要求的；</w:t>
      </w:r>
    </w:p>
    <w:p w14:paraId="300C3D78">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（十一）投标文件含有违反国家法律、法规的内容，或附有采购人不能接受的条件的；</w:t>
      </w:r>
    </w:p>
    <w:p w14:paraId="2D23B27F">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（十二）投标文件必须装订成册，不可使用活页装订或可拆的卸装订方式，未按要求装订的均视为无效投标</w:t>
      </w: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w:t>
      </w:r>
    </w:p>
    <w:p w14:paraId="170C3C2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bookmarkStart w:id="93" w:name="OLE_LINK25"/>
      <w:bookmarkStart w:id="94" w:name="OLE_LINK96"/>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（十三）法律、法规和遴选采购文件规定的其他无效情形。</w:t>
      </w:r>
      <w:bookmarkEnd w:id="93"/>
    </w:p>
    <w:bookmarkEnd w:id="94"/>
    <w:p w14:paraId="7650A7CA">
      <w:pPr>
        <w:keepNext w:val="0"/>
        <w:keepLines w:val="0"/>
        <w:widowControl/>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四、采购终止</w:t>
      </w:r>
    </w:p>
    <w:p w14:paraId="282663D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评审小组在评审中，出现以下情况之一的，应予废标，本次遴选采购终止：</w:t>
      </w:r>
    </w:p>
    <w:p w14:paraId="3ED9CCC5">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（一）投标人的报价均已超过本项目采购预算，采购人不能支付的；</w:t>
      </w:r>
    </w:p>
    <w:p w14:paraId="24CD2A07">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（二）出现影响采购公正的违法、违规行为的；</w:t>
      </w:r>
    </w:p>
    <w:p w14:paraId="19B695FA">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（三）因重大变故，采购任务取消的；</w:t>
      </w:r>
    </w:p>
    <w:p w14:paraId="1FF6E03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（四）法律、法规和遴选采购文件规定的其他应予废标，采购终止的情形。</w:t>
      </w:r>
    </w:p>
    <w:p w14:paraId="069EBC91">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废标后，除采购任务取消情形外，采购人应当重新组织采购。</w:t>
      </w:r>
    </w:p>
    <w:p w14:paraId="3CB0120D">
      <w:pPr>
        <w:pStyle w:val="3"/>
        <w:spacing w:before="200" w:after="200" w:line="240" w:lineRule="auto"/>
        <w:ind w:left="0" w:leftChars="0" w:firstLine="0" w:firstLineChars="0"/>
        <w:jc w:val="cente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第五篇  投标人须知</w:t>
      </w:r>
      <w:bookmarkEnd w:id="79"/>
      <w:bookmarkEnd w:id="80"/>
      <w:bookmarkEnd w:id="81"/>
      <w:bookmarkEnd w:id="82"/>
      <w:bookmarkEnd w:id="83"/>
    </w:p>
    <w:p w14:paraId="3BDC0F42">
      <w:pPr>
        <w:pStyle w:val="3"/>
        <w:adjustRightInd w:val="0"/>
        <w:snapToGrid w:val="0"/>
        <w:spacing w:before="0" w:after="0" w:line="240" w:lineRule="auto"/>
        <w:ind w:left="0" w:leftChars="0" w:firstLine="0" w:firstLineChars="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一、投标人</w:t>
      </w:r>
    </w:p>
    <w:p w14:paraId="6BE91C4D">
      <w:pPr>
        <w:pStyle w:val="3"/>
        <w:adjustRightInd w:val="0"/>
        <w:snapToGrid w:val="0"/>
        <w:spacing w:before="0" w:after="0" w:line="240" w:lineRule="auto"/>
        <w:ind w:left="0" w:leftChars="0" w:firstLine="562" w:firstLineChars="20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投标人</w:t>
      </w:r>
    </w:p>
    <w:p w14:paraId="4366127E">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投标人为</w:t>
      </w:r>
      <w:r>
        <w:rPr>
          <w:rFonts w:hint="eastAsia" w:ascii="方正仿宋_GBK" w:hAnsi="方正仿宋_GBK" w:eastAsia="方正仿宋_GBK" w:cs="方正仿宋_GBK"/>
          <w:color w:val="000000" w:themeColor="text1"/>
          <w:szCs w:val="24"/>
          <w14:textFill>
            <w14:solidFill>
              <w14:schemeClr w14:val="tx1"/>
            </w14:solidFill>
          </w14:textFill>
        </w:rPr>
        <w:t>响应公告、参加报名申请竞争的法人、其他组织或者自然人。</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w:t>
      </w:r>
      <w:r>
        <w:rPr>
          <w:rFonts w:hint="eastAsia" w:ascii="方正仿宋_GBK" w:hAnsi="方正仿宋_GBK" w:eastAsia="方正仿宋_GBK" w:cs="方正仿宋_GBK"/>
          <w:color w:val="000000" w:themeColor="text1"/>
          <w:szCs w:val="24"/>
          <w14:textFill>
            <w14:solidFill>
              <w14:schemeClr w14:val="tx1"/>
            </w14:solidFill>
          </w14:textFill>
        </w:rPr>
        <w:t>应完全符合遴选公告第一篇中规定的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资格条件，并对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作出实质性响应。</w:t>
      </w:r>
    </w:p>
    <w:p w14:paraId="0F7009D3">
      <w:pPr>
        <w:pStyle w:val="3"/>
        <w:adjustRightInd w:val="0"/>
        <w:snapToGrid w:val="0"/>
        <w:spacing w:before="0" w:after="0" w:line="240" w:lineRule="auto"/>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）风险</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及法律责任</w:t>
      </w:r>
    </w:p>
    <w:p w14:paraId="182C142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投标人未</w:t>
      </w:r>
      <w:r>
        <w:rPr>
          <w:rFonts w:hint="eastAsia" w:ascii="方正仿宋_GBK" w:hAnsi="方正仿宋_GBK" w:eastAsia="方正仿宋_GBK" w:cs="方正仿宋_GBK"/>
          <w:color w:val="000000" w:themeColor="text1"/>
          <w:szCs w:val="24"/>
          <w14:textFill>
            <w14:solidFill>
              <w14:schemeClr w14:val="tx1"/>
            </w14:solidFill>
          </w14:textFill>
        </w:rPr>
        <w:t>按照</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要求提供全部资料，或者</w:t>
      </w:r>
      <w:r>
        <w:rPr>
          <w:rFonts w:hint="eastAsia" w:ascii="方正仿宋_GBK" w:hAnsi="方正仿宋_GBK" w:eastAsia="方正仿宋_GBK" w:cs="方正仿宋_GBK"/>
          <w:color w:val="000000" w:themeColor="text1"/>
          <w:szCs w:val="24"/>
          <w:lang w:eastAsia="zh-CN"/>
          <w14:textFill>
            <w14:solidFill>
              <w14:schemeClr w14:val="tx1"/>
            </w14:solidFill>
          </w14:textFill>
        </w:rPr>
        <w:t>未</w:t>
      </w:r>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在各方面作出实质性响应，可能导致预审申请被拒绝或评定为无效申请。</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违反采购人制度等相关规定，将按规定追究</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人法律责任。</w:t>
      </w:r>
    </w:p>
    <w:p w14:paraId="68E1D7B7">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bookmarkStart w:id="95" w:name="OLE_LINK8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bookmarkStart w:id="96" w:name="OLE_LINK34"/>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6"/>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5"/>
      <w:r>
        <w:rPr>
          <w:rFonts w:hint="eastAsia" w:ascii="方正仿宋_GBK" w:hAnsi="方正仿宋_GBK" w:eastAsia="方正仿宋_GBK" w:cs="方正仿宋_GBK"/>
          <w:color w:val="000000" w:themeColor="text1"/>
          <w:szCs w:val="24"/>
          <w:lang w:eastAsia="zh-CN"/>
          <w14:textFill>
            <w14:solidFill>
              <w14:schemeClr w14:val="tx1"/>
            </w14:solidFill>
          </w14:textFill>
        </w:rPr>
        <w:t>无故</w:t>
      </w:r>
      <w:r>
        <w:rPr>
          <w:rFonts w:hint="eastAsia" w:ascii="方正仿宋_GBK" w:hAnsi="方正仿宋_GBK" w:eastAsia="方正仿宋_GBK" w:cs="方正仿宋_GBK"/>
          <w:color w:val="000000" w:themeColor="text1"/>
          <w:szCs w:val="24"/>
          <w14:textFill>
            <w14:solidFill>
              <w14:schemeClr w14:val="tx1"/>
            </w14:solidFill>
          </w14:textFill>
        </w:rPr>
        <w:t>拒绝与采购人签订合同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或</w:t>
      </w:r>
      <w:r>
        <w:rPr>
          <w:rFonts w:hint="eastAsia" w:ascii="方正仿宋_GBK" w:hAnsi="方正仿宋_GBK" w:eastAsia="方正仿宋_GBK" w:cs="方正仿宋_GBK"/>
          <w:color w:val="000000" w:themeColor="text1"/>
          <w:szCs w:val="24"/>
          <w14:textFill>
            <w14:solidFill>
              <w14:schemeClr w14:val="tx1"/>
            </w14:solidFill>
          </w14:textFill>
        </w:rPr>
        <w:t>未在规定时间内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完成</w:t>
      </w:r>
      <w:r>
        <w:rPr>
          <w:rFonts w:hint="eastAsia" w:ascii="方正仿宋_GBK" w:hAnsi="方正仿宋_GBK" w:eastAsia="方正仿宋_GBK" w:cs="方正仿宋_GBK"/>
          <w:color w:val="000000" w:themeColor="text1"/>
          <w:szCs w:val="24"/>
          <w14:textFill>
            <w14:solidFill>
              <w14:schemeClr w14:val="tx1"/>
            </w14:solidFill>
          </w14:textFill>
        </w:rPr>
        <w:t>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签订</w:t>
      </w:r>
      <w:bookmarkStart w:id="97" w:name="OLE_LINK38"/>
      <w:r>
        <w:rPr>
          <w:rFonts w:hint="eastAsia" w:ascii="方正仿宋_GBK" w:hAnsi="方正仿宋_GBK" w:eastAsia="方正仿宋_GBK" w:cs="方正仿宋_GBK"/>
          <w:color w:val="000000" w:themeColor="text1"/>
          <w:szCs w:val="24"/>
          <w14:textFill>
            <w14:solidFill>
              <w14:schemeClr w14:val="tx1"/>
            </w14:solidFill>
          </w14:textFill>
        </w:rPr>
        <w:t>或放弃中标</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资格</w:t>
      </w:r>
      <w:bookmarkEnd w:id="97"/>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采购人可以按照评标</w:t>
      </w:r>
      <w:r>
        <w:rPr>
          <w:rFonts w:hint="eastAsia" w:ascii="方正仿宋_GBK" w:hAnsi="方正仿宋_GBK" w:eastAsia="方正仿宋_GBK" w:cs="方正仿宋_GBK"/>
          <w:color w:val="000000" w:themeColor="text1"/>
          <w:szCs w:val="24"/>
          <w:lang w:eastAsia="zh-CN"/>
          <w14:textFill>
            <w14:solidFill>
              <w14:schemeClr w14:val="tx1"/>
            </w14:solidFill>
          </w14:textFill>
        </w:rPr>
        <w:t>结果</w:t>
      </w:r>
      <w:r>
        <w:rPr>
          <w:rFonts w:hint="eastAsia" w:ascii="方正仿宋_GBK" w:hAnsi="方正仿宋_GBK" w:eastAsia="方正仿宋_GBK" w:cs="方正仿宋_GBK"/>
          <w:color w:val="000000" w:themeColor="text1"/>
          <w:szCs w:val="24"/>
          <w14:textFill>
            <w14:solidFill>
              <w14:schemeClr w14:val="tx1"/>
            </w14:solidFill>
          </w14:textFill>
        </w:rPr>
        <w:t>推荐的</w:t>
      </w:r>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候选投标人顺序，确定排名下一位的候选人为</w:t>
      </w:r>
      <w:bookmarkStart w:id="98" w:name="OLE_LINK4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8"/>
      <w:r>
        <w:rPr>
          <w:rFonts w:hint="eastAsia" w:ascii="方正仿宋_GBK" w:hAnsi="方正仿宋_GBK" w:eastAsia="方正仿宋_GBK" w:cs="方正仿宋_GBK"/>
          <w:color w:val="000000" w:themeColor="text1"/>
          <w:szCs w:val="24"/>
          <w14:textFill>
            <w14:solidFill>
              <w14:schemeClr w14:val="tx1"/>
            </w14:solidFill>
          </w14:textFill>
        </w:rPr>
        <w:t>供应商，也可以重新开展</w:t>
      </w:r>
      <w:r>
        <w:rPr>
          <w:rFonts w:hint="eastAsia" w:ascii="方正仿宋_GBK" w:hAnsi="方正仿宋_GBK" w:eastAsia="方正仿宋_GBK" w:cs="方正仿宋_GBK"/>
          <w:color w:val="000000" w:themeColor="text1"/>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Cs w:val="24"/>
          <w14:textFill>
            <w14:solidFill>
              <w14:schemeClr w14:val="tx1"/>
            </w14:solidFill>
          </w14:textFill>
        </w:rPr>
        <w:t>采购活动</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，同时采购人有权追究该</w:t>
      </w:r>
      <w:bookmarkStart w:id="99" w:name="OLE_LINK40"/>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9"/>
      <w:r>
        <w:rPr>
          <w:rFonts w:hint="eastAsia" w:ascii="方正仿宋_GBK" w:hAnsi="方正仿宋_GBK" w:eastAsia="方正仿宋_GBK" w:cs="方正仿宋_GBK"/>
          <w:color w:val="000000" w:themeColor="text1"/>
          <w:szCs w:val="24"/>
          <w:lang w:eastAsia="zh-CN"/>
          <w14:textFill>
            <w14:solidFill>
              <w14:schemeClr w14:val="tx1"/>
            </w14:solidFill>
          </w14:textFill>
        </w:rPr>
        <w:t>法律责任并列入医院不诚信供应商“黑名单”，</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color w:val="000000" w:themeColor="text1"/>
          <w:szCs w:val="24"/>
          <w14:textFill>
            <w14:solidFill>
              <w14:schemeClr w14:val="tx1"/>
            </w14:solidFill>
          </w14:textFill>
        </w:rPr>
        <w:t>。</w:t>
      </w:r>
    </w:p>
    <w:p w14:paraId="4E7E45C5">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遴选费用</w:t>
      </w:r>
    </w:p>
    <w:p w14:paraId="56B6E79A">
      <w:pPr>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参与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本项目遴选</w:t>
      </w:r>
      <w:r>
        <w:rPr>
          <w:rFonts w:hint="eastAsia" w:ascii="方正仿宋_GBK" w:hAnsi="方正仿宋_GBK" w:eastAsia="方正仿宋_GBK" w:cs="方正仿宋_GBK"/>
          <w:color w:val="000000" w:themeColor="text1"/>
          <w:sz w:val="24"/>
          <w:szCs w:val="24"/>
          <w14:textFill>
            <w14:solidFill>
              <w14:schemeClr w14:val="tx1"/>
            </w14:solidFill>
          </w14:textFill>
        </w:rPr>
        <w:t>的投标人应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自行</w:t>
      </w:r>
      <w:r>
        <w:rPr>
          <w:rFonts w:hint="eastAsia" w:ascii="方正仿宋_GBK" w:hAnsi="方正仿宋_GBK" w:eastAsia="方正仿宋_GBK" w:cs="方正仿宋_GBK"/>
          <w:color w:val="000000" w:themeColor="text1"/>
          <w:sz w:val="24"/>
          <w:szCs w:val="24"/>
          <w14:textFill>
            <w14:solidFill>
              <w14:schemeClr w14:val="tx1"/>
            </w14:solidFill>
          </w14:textFill>
        </w:rPr>
        <w:t>承担其编制响应文件与递交响应文件所涉及的一切费用，不论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遴选最终</w:t>
      </w:r>
      <w:r>
        <w:rPr>
          <w:rFonts w:hint="eastAsia" w:ascii="方正仿宋_GBK" w:hAnsi="方正仿宋_GBK" w:eastAsia="方正仿宋_GBK" w:cs="方正仿宋_GBK"/>
          <w:color w:val="000000" w:themeColor="text1"/>
          <w:sz w:val="24"/>
          <w:szCs w:val="24"/>
          <w14:textFill>
            <w14:solidFill>
              <w14:schemeClr w14:val="tx1"/>
            </w14:solidFill>
          </w14:textFill>
        </w:rPr>
        <w:t>结果如何，采购人在任何情况下</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均</w:t>
      </w:r>
      <w:r>
        <w:rPr>
          <w:rFonts w:hint="eastAsia" w:ascii="方正仿宋_GBK" w:hAnsi="方正仿宋_GBK" w:eastAsia="方正仿宋_GBK" w:cs="方正仿宋_GBK"/>
          <w:color w:val="000000" w:themeColor="text1"/>
          <w:sz w:val="24"/>
          <w:szCs w:val="24"/>
          <w14:textFill>
            <w14:solidFill>
              <w14:schemeClr w14:val="tx1"/>
            </w14:solidFill>
          </w14:textFill>
        </w:rPr>
        <w:t>无义务也无责任承担这些费用。</w:t>
      </w:r>
    </w:p>
    <w:p w14:paraId="5FF7212A">
      <w:pPr>
        <w:pStyle w:val="7"/>
        <w:numPr>
          <w:ilvl w:val="0"/>
          <w:numId w:val="0"/>
        </w:numPr>
        <w:spacing w:line="240" w:lineRule="auto"/>
        <w:ind w:left="0" w:leftChars="0"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8"/>
          <w:szCs w:val="28"/>
          <w14:textFill>
            <w14:solidFill>
              <w14:schemeClr w14:val="tx1"/>
            </w14:solidFill>
          </w14:textFill>
        </w:rPr>
        <w:t>遴选公告文件</w:t>
      </w:r>
    </w:p>
    <w:p w14:paraId="5252EB87">
      <w:pPr>
        <w:pStyle w:val="7"/>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00" w:name="OLE_LINK43"/>
      <w:r>
        <w:rPr>
          <w:rFonts w:hint="eastAsia" w:ascii="方正仿宋_GBK" w:hAnsi="方正仿宋_GBK" w:eastAsia="方正仿宋_GBK" w:cs="方正仿宋_GBK"/>
          <w:color w:val="000000" w:themeColor="text1"/>
          <w:sz w:val="24"/>
          <w:szCs w:val="24"/>
          <w14:textFill>
            <w14:solidFill>
              <w14:schemeClr w14:val="tx1"/>
            </w14:solidFill>
          </w14:textFill>
        </w:rPr>
        <w:t>（一）</w:t>
      </w:r>
      <w:bookmarkEnd w:id="100"/>
      <w:r>
        <w:rPr>
          <w:rFonts w:hint="eastAsia" w:ascii="方正仿宋_GBK" w:hAnsi="方正仿宋_GBK" w:eastAsia="方正仿宋_GBK" w:cs="方正仿宋_GBK"/>
          <w:color w:val="000000" w:themeColor="text1"/>
          <w:sz w:val="24"/>
          <w:szCs w:val="24"/>
          <w14:textFill>
            <w14:solidFill>
              <w14:schemeClr w14:val="tx1"/>
            </w14:solidFill>
          </w14:textFill>
        </w:rPr>
        <w:t>遴选公告文件是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递交</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 w:val="24"/>
          <w:szCs w:val="24"/>
          <w14:textFill>
            <w14:solidFill>
              <w14:schemeClr w14:val="tx1"/>
            </w14:solidFill>
          </w14:textFill>
        </w:rPr>
        <w:t>、报价及资质文件的依据。遴选公告文件由</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遴选邀请书，项目</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技术（质量）要求，</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商务要求，</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采购程序及方法、评审标准、无效响应和采购终止，</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人须知，</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响应（报名）文件格式</w:t>
      </w:r>
      <w:r>
        <w:rPr>
          <w:rFonts w:hint="eastAsia" w:ascii="方正仿宋_GBK" w:hAnsi="方正仿宋_GBK" w:eastAsia="方正仿宋_GBK" w:cs="方正仿宋_GBK"/>
          <w:color w:val="000000" w:themeColor="text1"/>
          <w:sz w:val="24"/>
          <w:szCs w:val="24"/>
          <w14:textFill>
            <w14:solidFill>
              <w14:schemeClr w14:val="tx1"/>
            </w14:solidFill>
          </w14:textFill>
        </w:rPr>
        <w:t>组成。</w:t>
      </w:r>
    </w:p>
    <w:p w14:paraId="02D1CC4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（二）采购人对遴选公告文件所作的一切有效的书面通知、修改及补充，都是遴选公告文件不可分割的部分。</w:t>
      </w:r>
    </w:p>
    <w:p w14:paraId="22F57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（三）本遴选公告补遗文件（如果有）</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一律在重庆医科大学附属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）发布，请各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r>
        <w:rPr>
          <w:rFonts w:hint="eastAsia" w:ascii="方正仿宋_GBK" w:hAnsi="方正仿宋_GBK" w:eastAsia="方正仿宋_GBK" w:cs="方正仿宋_GBK"/>
          <w:color w:val="000000" w:themeColor="text1"/>
          <w:szCs w:val="24"/>
          <w:lang w:eastAsia="zh-CN"/>
          <w14:textFill>
            <w14:solidFill>
              <w14:schemeClr w14:val="tx1"/>
            </w14:solidFill>
          </w14:textFill>
        </w:rPr>
        <w:t>注意关注并自行</w:t>
      </w:r>
      <w:r>
        <w:rPr>
          <w:rFonts w:hint="eastAsia" w:ascii="方正仿宋_GBK" w:hAnsi="方正仿宋_GBK" w:eastAsia="方正仿宋_GBK" w:cs="方正仿宋_GBK"/>
          <w:color w:val="000000" w:themeColor="text1"/>
          <w:szCs w:val="24"/>
          <w14:textFill>
            <w14:solidFill>
              <w14:schemeClr w14:val="tx1"/>
            </w14:solidFill>
          </w14:textFill>
        </w:rPr>
        <w:t>下载；无论</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人下载与否，均视同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人已知晓本项目遴选公告补遗文件的内容。</w:t>
      </w:r>
    </w:p>
    <w:p w14:paraId="71F75F0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（四）采购人对已发出的遴选公告文件需要进行澄清或修改的，应以书面形式或公告形式通知所有遴选公告文件收受人。该澄清或者修改的内容为遴选公告文件的组成部分。</w:t>
      </w:r>
    </w:p>
    <w:p w14:paraId="10E9232B">
      <w:pPr>
        <w:spacing w:line="240" w:lineRule="auto"/>
        <w:ind w:firstLine="48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响应</w:t>
      </w:r>
      <w:r>
        <w:rPr>
          <w:rFonts w:hint="eastAsia" w:ascii="方正仿宋_GBK" w:hAnsi="方正仿宋_GBK" w:eastAsia="方正仿宋_GBK" w:cs="方正仿宋_GBK"/>
          <w:b/>
          <w:bCs/>
          <w:color w:val="000000" w:themeColor="text1"/>
          <w:sz w:val="28"/>
          <w:szCs w:val="28"/>
          <w14:textFill>
            <w14:solidFill>
              <w14:schemeClr w14:val="tx1"/>
            </w14:solidFill>
          </w14:textFill>
        </w:rPr>
        <w:t>文件</w:t>
      </w:r>
    </w:p>
    <w:p w14:paraId="546A0AF8">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人应当按照遴选公告文件的要求编制</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文件并对遴选公告文件提出的要求和条件作出实质性响应，</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原则上采用软面订本，同时应编制完整的页码、目录。</w:t>
      </w:r>
    </w:p>
    <w:p w14:paraId="58D05748">
      <w:pPr>
        <w:pStyle w:val="5"/>
        <w:spacing w:line="240" w:lineRule="auto"/>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响应文件组成：</w:t>
      </w:r>
    </w:p>
    <w:p w14:paraId="5D01CDAA">
      <w:pPr>
        <w:spacing w:line="240" w:lineRule="auto"/>
        <w:ind w:firstLine="480"/>
        <w:rPr>
          <w:rFonts w:hint="eastAsia" w:ascii="方正仿宋_GBK" w:hAnsi="方正仿宋_GBK" w:eastAsia="方正仿宋_GBK" w:cs="方正仿宋_GBK"/>
          <w:color w:val="000000" w:themeColor="text1"/>
          <w:szCs w:val="24"/>
          <w:highlight w:val="none"/>
          <w14:textFill>
            <w14:solidFill>
              <w14:schemeClr w14:val="tx1"/>
            </w14:solidFill>
          </w14:textFill>
        </w:rPr>
      </w:pP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由第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格式”规定的部分和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人所作的一切有效补充、修改和承诺等文件组成，</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人应按照第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格式”规定的目录顺序组织编写和装订。</w:t>
      </w:r>
    </w:p>
    <w:p w14:paraId="61BF13A0">
      <w:pPr>
        <w:spacing w:line="240" w:lineRule="auto"/>
        <w:ind w:firstLine="480"/>
        <w:outlineLvl w:val="1"/>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Cs/>
          <w:color w:val="000000" w:themeColor="text1"/>
          <w:szCs w:val="24"/>
          <w14:textFill>
            <w14:solidFill>
              <w14:schemeClr w14:val="tx1"/>
            </w14:solidFill>
          </w14:textFill>
        </w:rPr>
        <w:t>的份数和签署</w:t>
      </w:r>
    </w:p>
    <w:p w14:paraId="1F4D4E58">
      <w:pPr>
        <w:spacing w:line="240" w:lineRule="auto"/>
        <w:ind w:firstLine="480"/>
        <w:rPr>
          <w:rFonts w:hint="eastAsia" w:ascii="方正仿宋_GBK" w:hAnsi="方正仿宋_GBK" w:eastAsia="方正仿宋_GBK" w:cs="方正仿宋_GBK"/>
          <w:b/>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14:textFill>
            <w14:solidFill>
              <w14:schemeClr w14:val="tx1"/>
            </w14:solidFill>
          </w14:textFill>
        </w:rPr>
        <w:t>1.</w:t>
      </w:r>
      <w:bookmarkStart w:id="101" w:name="OLE_LINK70"/>
      <w:r>
        <w:rPr>
          <w:rFonts w:hint="eastAsia" w:ascii="方正仿宋_GBK" w:hAnsi="方正仿宋_GBK" w:eastAsia="方正仿宋_GBK" w:cs="方正仿宋_GBK"/>
          <w:b/>
          <w:bCs/>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14:textFill>
            <w14:solidFill>
              <w14:schemeClr w14:val="tx1"/>
            </w14:solidFill>
          </w14:textFill>
        </w:rPr>
        <w:t>纸质版正</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本一份、</w:t>
      </w:r>
      <w:r>
        <w:rPr>
          <w:rFonts w:hint="eastAsia" w:ascii="方正仿宋_GBK" w:hAnsi="方正仿宋_GBK" w:eastAsia="方正仿宋_GBK" w:cs="方正仿宋_GBK"/>
          <w:b/>
          <w:bCs/>
          <w:color w:val="000000" w:themeColor="text1"/>
          <w:szCs w:val="24"/>
          <w14:textFill>
            <w14:solidFill>
              <w14:schemeClr w14:val="tx1"/>
            </w14:solidFill>
          </w14:textFill>
        </w:rPr>
        <w:t>副本</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三份</w:t>
      </w:r>
      <w:r>
        <w:rPr>
          <w:rFonts w:hint="eastAsia" w:ascii="方正仿宋_GBK" w:hAnsi="方正仿宋_GBK" w:eastAsia="方正仿宋_GBK" w:cs="方正仿宋_GBK"/>
          <w:b/>
          <w:bCs/>
          <w:color w:val="000000" w:themeColor="text1"/>
          <w:szCs w:val="24"/>
          <w14:textFill>
            <w14:solidFill>
              <w14:schemeClr w14:val="tx1"/>
            </w14:solidFill>
          </w14:textFill>
        </w:rPr>
        <w:t>、电子版一份</w:t>
      </w:r>
      <w:bookmarkEnd w:id="101"/>
      <w:r>
        <w:rPr>
          <w:rFonts w:hint="eastAsia" w:ascii="方正仿宋_GBK" w:hAnsi="方正仿宋_GBK" w:eastAsia="方正仿宋_GBK" w:cs="方正仿宋_GBK"/>
          <w:b/>
          <w:bCs/>
          <w:color w:val="000000" w:themeColor="text1"/>
          <w:szCs w:val="24"/>
          <w14:textFill>
            <w14:solidFill>
              <w14:schemeClr w14:val="tx1"/>
            </w14:solidFill>
          </w14:textFill>
        </w:rPr>
        <w:t>。如出现不一致，以纸质版为准。</w:t>
      </w:r>
    </w:p>
    <w:p w14:paraId="1E7B5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纸质版的每一页均应加盖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人公章，其中本公告第</w:t>
      </w:r>
      <w:r>
        <w:rPr>
          <w:rFonts w:hint="eastAsia" w:ascii="方正仿宋_GBK" w:hAnsi="方正仿宋_GBK" w:eastAsia="方正仿宋_GBK" w:cs="方正仿宋_GBK"/>
          <w:color w:val="000000" w:themeColor="text1"/>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14:textFill>
            <w14:solidFill>
              <w14:schemeClr w14:val="tx1"/>
            </w14:solidFill>
          </w14:textFill>
        </w:rPr>
        <w:t>篇</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格式</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中规定签字、盖章的地方必须按其规定签字、盖章</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否则视为无效投标</w:t>
      </w:r>
      <w:r>
        <w:rPr>
          <w:rFonts w:hint="eastAsia" w:ascii="方正仿宋_GBK" w:hAnsi="方正仿宋_GBK" w:eastAsia="方正仿宋_GBK" w:cs="方正仿宋_GBK"/>
          <w:color w:val="000000" w:themeColor="text1"/>
          <w:szCs w:val="24"/>
          <w14:textFill>
            <w14:solidFill>
              <w14:schemeClr w14:val="tx1"/>
            </w14:solidFill>
          </w14:textFill>
        </w:rPr>
        <w:t>。</w:t>
      </w:r>
    </w:p>
    <w:p w14:paraId="74072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3.若</w:t>
      </w:r>
      <w:bookmarkStart w:id="102" w:name="OLE_LINK71"/>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bookmarkEnd w:id="102"/>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的错</w:t>
      </w:r>
      <w:r>
        <w:rPr>
          <w:rFonts w:hint="eastAsia" w:ascii="方正仿宋_GBK" w:hAnsi="方正仿宋_GBK" w:eastAsia="方正仿宋_GBK" w:cs="方正仿宋_GBK"/>
          <w:color w:val="000000" w:themeColor="text1"/>
          <w:szCs w:val="24"/>
          <w:lang w:eastAsia="zh-CN"/>
          <w14:textFill>
            <w14:solidFill>
              <w14:schemeClr w14:val="tx1"/>
            </w14:solidFill>
          </w14:textFill>
        </w:rPr>
        <w:t>误</w:t>
      </w:r>
      <w:r>
        <w:rPr>
          <w:rFonts w:hint="eastAsia" w:ascii="方正仿宋_GBK" w:hAnsi="方正仿宋_GBK" w:eastAsia="方正仿宋_GBK" w:cs="方正仿宋_GBK"/>
          <w:color w:val="000000" w:themeColor="text1"/>
          <w:szCs w:val="24"/>
          <w14:textFill>
            <w14:solidFill>
              <w14:schemeClr w14:val="tx1"/>
            </w14:solidFill>
          </w14:textFill>
        </w:rPr>
        <w:t>处作必要修改，则应在修改处加盖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人公章或由法定代表人或法定代表人授权代表签字确认。</w:t>
      </w:r>
    </w:p>
    <w:p w14:paraId="640B5EC6">
      <w:pPr>
        <w:spacing w:line="240" w:lineRule="auto"/>
        <w:ind w:firstLine="480"/>
        <w:outlineLvl w:val="1"/>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的递交</w:t>
      </w:r>
    </w:p>
    <w:p w14:paraId="77C53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1.</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的装袋</w:t>
      </w:r>
    </w:p>
    <w:p w14:paraId="16D3DB2A">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均应装袋密封。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纸质版、电子版可合装一袋，也可分装。</w:t>
      </w:r>
    </w:p>
    <w:p w14:paraId="306A4E1D">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的密封</w:t>
      </w:r>
    </w:p>
    <w:p w14:paraId="11A7CBC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袋须密封完好，封套的封口处应加盖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公章或由法定代表人授权代表签字。</w:t>
      </w:r>
    </w:p>
    <w:p w14:paraId="06A56960">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的标记</w:t>
      </w:r>
    </w:p>
    <w:p w14:paraId="3FA9C486">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袋上应注明“不准提前启封”、“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企业名称。</w:t>
      </w:r>
    </w:p>
    <w:p w14:paraId="51BF9889">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封面上应分别注明“</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bookmarkStart w:id="103" w:name="OLE_LINK42"/>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bookmarkEnd w:id="103"/>
      <w:r>
        <w:rPr>
          <w:rFonts w:hint="eastAsia" w:ascii="方正仿宋_GBK" w:hAnsi="方正仿宋_GBK" w:eastAsia="方正仿宋_GBK" w:cs="方正仿宋_GBK"/>
          <w:color w:val="000000" w:themeColor="text1"/>
          <w:szCs w:val="24"/>
          <w14:textFill>
            <w14:solidFill>
              <w14:schemeClr w14:val="tx1"/>
            </w14:solidFill>
          </w14:textFill>
        </w:rPr>
        <w:t>名称，并标明“纸质版”字样。</w:t>
      </w:r>
    </w:p>
    <w:p w14:paraId="488E036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4.如果未按上述规定进行密封和标记，采购人对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误投、丢失或提前拆封不负</w:t>
      </w:r>
      <w:r>
        <w:rPr>
          <w:rFonts w:hint="eastAsia" w:ascii="方正仿宋_GBK" w:hAnsi="方正仿宋_GBK" w:eastAsia="方正仿宋_GBK" w:cs="方正仿宋_GBK"/>
          <w:color w:val="000000" w:themeColor="text1"/>
          <w:szCs w:val="24"/>
          <w:lang w:eastAsia="zh-CN"/>
          <w14:textFill>
            <w14:solidFill>
              <w14:schemeClr w14:val="tx1"/>
            </w14:solidFill>
          </w14:textFill>
        </w:rPr>
        <w:t>任何</w:t>
      </w:r>
      <w:r>
        <w:rPr>
          <w:rFonts w:hint="eastAsia" w:ascii="方正仿宋_GBK" w:hAnsi="方正仿宋_GBK" w:eastAsia="方正仿宋_GBK" w:cs="方正仿宋_GBK"/>
          <w:color w:val="000000" w:themeColor="text1"/>
          <w:szCs w:val="24"/>
          <w14:textFill>
            <w14:solidFill>
              <w14:schemeClr w14:val="tx1"/>
            </w14:solidFill>
          </w14:textFill>
        </w:rPr>
        <w:t>责任。</w:t>
      </w:r>
    </w:p>
    <w:p w14:paraId="666A9E4E">
      <w:pPr>
        <w:spacing w:line="240" w:lineRule="auto"/>
        <w:ind w:firstLine="482"/>
        <w:outlineLvl w:val="0"/>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lang w:eastAsia="zh-CN"/>
          <w14:textFill>
            <w14:solidFill>
              <w14:schemeClr w14:val="tx1"/>
            </w14:solidFill>
          </w14:textFill>
        </w:rPr>
        <w:t>五</w:t>
      </w:r>
      <w:r>
        <w:rPr>
          <w:rFonts w:hint="eastAsia" w:ascii="方正仿宋_GBK" w:hAnsi="方正仿宋_GBK" w:eastAsia="方正仿宋_GBK" w:cs="方正仿宋_GBK"/>
          <w:b/>
          <w:color w:val="000000" w:themeColor="text1"/>
          <w:sz w:val="28"/>
          <w:szCs w:val="28"/>
          <w14:textFill>
            <w14:solidFill>
              <w14:schemeClr w14:val="tx1"/>
            </w14:solidFill>
          </w14:textFill>
        </w:rPr>
        <w:t>、确定遴选邀请人</w:t>
      </w:r>
    </w:p>
    <w:p w14:paraId="33D559E7">
      <w:pPr>
        <w:spacing w:line="240" w:lineRule="auto"/>
        <w:ind w:firstLine="480"/>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采购人初步遴选后，对初步入围的单位将全部采取发送电子邮件或电话通知的方式，邀请其参加正式遴选议价</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，正式议价完成后，按有关流程和要求签订中标（成交）合同。</w:t>
      </w:r>
    </w:p>
    <w:bookmarkEnd w:id="84"/>
    <w:p w14:paraId="19DA966B">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bookmarkStart w:id="104" w:name="OLE_LINK72"/>
      <w:r>
        <w:rPr>
          <w:rFonts w:hint="eastAsia" w:ascii="方正仿宋_GBK" w:hAnsi="方正仿宋_GBK" w:eastAsia="方正仿宋_GBK" w:cs="方正仿宋_GBK"/>
          <w:b/>
          <w:bCs w:val="0"/>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询问、质疑和投诉</w:t>
      </w:r>
    </w:p>
    <w:bookmarkEnd w:id="104"/>
    <w:p w14:paraId="18DDB61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询问</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询问可以是口头或书面形式</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Cs w:val="24"/>
          <w14:textFill>
            <w14:solidFill>
              <w14:schemeClr w14:val="tx1"/>
            </w14:solidFill>
          </w14:textFill>
        </w:rPr>
        <w:t>采购人应当在</w:t>
      </w:r>
      <w:r>
        <w:rPr>
          <w:rFonts w:hint="eastAsia" w:ascii="方正仿宋_GBK" w:hAnsi="方正仿宋_GBK" w:eastAsia="方正仿宋_GBK" w:cs="方正仿宋_GBK"/>
          <w:b/>
          <w:bCs w:val="0"/>
          <w:color w:val="000000" w:themeColor="text1"/>
          <w:szCs w:val="24"/>
          <w:highlight w:val="none"/>
          <w:u w:val="single"/>
          <w14:textFill>
            <w14:solidFill>
              <w14:schemeClr w14:val="tx1"/>
            </w14:solidFill>
          </w14:textFill>
        </w:rPr>
        <w:t>3个工作日内</w:t>
      </w:r>
      <w:r>
        <w:rPr>
          <w:rFonts w:hint="eastAsia" w:ascii="方正仿宋_GBK" w:hAnsi="方正仿宋_GBK" w:eastAsia="方正仿宋_GBK" w:cs="方正仿宋_GBK"/>
          <w:b w:val="0"/>
          <w:bCs/>
          <w:color w:val="000000" w:themeColor="text1"/>
          <w:szCs w:val="24"/>
          <w14:textFill>
            <w14:solidFill>
              <w14:schemeClr w14:val="tx1"/>
            </w14:solidFill>
          </w14:textFill>
        </w:rPr>
        <w:t>对</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依法提出的询问作出答复。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投标人如对</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采购文件有疑问，必须以书面形式在提交响应文件截止时间</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u w:val="single"/>
          <w14:textFill>
            <w14:solidFill>
              <w14:schemeClr w14:val="tx1"/>
            </w14:solidFill>
          </w14:textFill>
        </w:rPr>
        <w:t>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向采购人要求澄清，采购人可视具体情况做出处理或答复。如投标人未提出疑问，视为完全理解并同意本</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采购文件。一经进入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遴选采购环节</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，即视为投标人已详细阅读全部文件资料，完全理解</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采购文件所有条款内容并同意放弃对这方面有不明白及误解的权利。</w:t>
      </w:r>
    </w:p>
    <w:p w14:paraId="39AFBEC9">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质疑</w:t>
      </w:r>
    </w:p>
    <w:p w14:paraId="00952888">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1.质疑内容、时限</w:t>
      </w:r>
    </w:p>
    <w:p w14:paraId="05C75DD0">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对已依法获取的遴选公告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采购过程</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、遴选结果提出质疑的，应以提交质疑函形式向采购人提出质疑。</w:t>
      </w:r>
    </w:p>
    <w:p w14:paraId="589EFBED">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质疑函应当包括下列内容：</w:t>
      </w:r>
    </w:p>
    <w:p w14:paraId="7CC8F9D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.1投标人的姓名或者名称、地址、邮编、联系人及联系电话；</w:t>
      </w:r>
    </w:p>
    <w:p w14:paraId="79B6404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.2质疑项目的名称、项目号以及采购执行编号；</w:t>
      </w:r>
    </w:p>
    <w:p w14:paraId="62B4F9A3">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.3具体、明确的质疑事项和与质疑事项相关的请求；</w:t>
      </w:r>
    </w:p>
    <w:p w14:paraId="779B7C5A">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.4事实依据；</w:t>
      </w:r>
    </w:p>
    <w:p w14:paraId="6A2C928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.5必要的法律依据；</w:t>
      </w:r>
    </w:p>
    <w:p w14:paraId="0E59554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.6提出质疑的日期；</w:t>
      </w:r>
    </w:p>
    <w:p w14:paraId="7504A71B">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.7营业执照（或事业单位法人证书或个体工商户营业执照或有效的自然人身份证明）复印件；</w:t>
      </w:r>
    </w:p>
    <w:p w14:paraId="13E20A77">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.8法定代表人授权委托书原件、法定代表人身份证复印件和其授权代表的身份证复印件（投标人为自然人的提供自然人身份证复印件）</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w:t>
      </w:r>
    </w:p>
    <w:p w14:paraId="240E04A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bookmarkStart w:id="105" w:name="OLE_LINK35"/>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2</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对已依法获取的遴选公告</w:t>
      </w:r>
      <w:bookmarkEnd w:id="105"/>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提出质疑的，应在遴选公告期限发出之日起</w:t>
      </w:r>
      <w:r>
        <w:rPr>
          <w:rFonts w:hint="eastAsia" w:ascii="方正仿宋_GBK" w:hAnsi="方正仿宋_GBK" w:eastAsia="方正仿宋_GBK" w:cs="方正仿宋_GBK"/>
          <w:b/>
          <w:bCs w:val="0"/>
          <w:color w:val="000000" w:themeColor="text1"/>
          <w:sz w:val="24"/>
          <w:szCs w:val="24"/>
          <w:highlight w:val="none"/>
          <w:u w:val="single"/>
          <w:lang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以纸质形式向采购人提出，并附</w:t>
      </w:r>
      <w:bookmarkStart w:id="106" w:name="OLE_LINK37"/>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bookmarkEnd w:id="106"/>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w:t>
      </w:r>
    </w:p>
    <w:p w14:paraId="173176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w:t>
      </w:r>
      <w:bookmarkStart w:id="107" w:name="OLE_LINK36"/>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采购过程</w:t>
      </w:r>
      <w:bookmarkEnd w:id="107"/>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提出质疑的，应在各采购程序环节结束之日起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日</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以书面形式向采购人提出，并附</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p>
    <w:p w14:paraId="479EAFB9">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遴选结果公告期限为结果公告发出之日起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对遴选结果如有异议的，应当在遴选资格结果公告</w:t>
      </w:r>
      <w:r>
        <w:rPr>
          <w:rFonts w:hint="eastAsia" w:ascii="方正仿宋_GBK" w:hAnsi="方正仿宋_GBK" w:eastAsia="方正仿宋_GBK" w:cs="方正仿宋_GBK"/>
          <w:b w:val="0"/>
          <w:bCs/>
          <w:strike w:val="0"/>
          <w:dstrike w:val="0"/>
          <w:color w:val="000000" w:themeColor="text1"/>
          <w:sz w:val="24"/>
          <w:szCs w:val="24"/>
          <w:highlight w:val="none"/>
          <w:lang w:val="en-US" w:eastAsia="zh-CN"/>
          <w14:textFill>
            <w14:solidFill>
              <w14:schemeClr w14:val="tx1"/>
            </w14:solidFill>
          </w14:textFill>
        </w:rPr>
        <w:t>发布</w:t>
      </w:r>
      <w:r>
        <w:rPr>
          <w:rFonts w:hint="eastAsia" w:ascii="方正仿宋_GBK" w:hAnsi="方正仿宋_GBK" w:eastAsia="方正仿宋_GBK" w:cs="方正仿宋_GBK"/>
          <w:b w:val="0"/>
          <w:bCs/>
          <w:strike w:val="0"/>
          <w:color w:val="000000" w:themeColor="text1"/>
          <w:sz w:val="24"/>
          <w:szCs w:val="24"/>
          <w:highlight w:val="none"/>
          <w14:textFill>
            <w14:solidFill>
              <w14:schemeClr w14:val="tx1"/>
            </w14:solidFill>
          </w14:textFill>
        </w:rPr>
        <w:t>之</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购人提出质疑，并附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相关证明材料。</w:t>
      </w:r>
    </w:p>
    <w:p w14:paraId="2D3922D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应在法定质疑期内一次性对遴选公告、资格审核过程和遴选资格结果等程序环节提出质疑，否则不予受理。</w:t>
      </w:r>
    </w:p>
    <w:p w14:paraId="7490AB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对遴选公告中的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特定资格条件、评审标准有异议的，应主要向采购人提出质疑。</w:t>
      </w:r>
    </w:p>
    <w:p w14:paraId="79E77073">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2.质疑答复</w:t>
      </w:r>
    </w:p>
    <w:p w14:paraId="4430C26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采购人应当在收到</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的书面质疑后</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个工作日内作出答复，并以书面形式通知质疑</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和其他有关</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35004C5F">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投诉</w:t>
      </w:r>
    </w:p>
    <w:p w14:paraId="1904D472">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对采购人的答复不满意，或者采购人未在规定时间内答复的，可在答复期满后</w:t>
      </w:r>
      <w:r>
        <w:rPr>
          <w:rFonts w:hint="eastAsia" w:ascii="方正仿宋_GBK" w:hAnsi="方正仿宋_GBK" w:eastAsia="方正仿宋_GBK" w:cs="方正仿宋_GBK"/>
          <w:b/>
          <w:bCs w:val="0"/>
          <w:color w:val="000000" w:themeColor="text1"/>
          <w:sz w:val="24"/>
          <w:szCs w:val="24"/>
          <w:u w:val="single"/>
          <w:lang w:val="en-US" w:eastAsia="zh-CN"/>
          <w14:textFill>
            <w14:solidFill>
              <w14:schemeClr w14:val="tx1"/>
            </w14:solidFill>
          </w14:textFill>
        </w:rPr>
        <w:t>15</w:t>
      </w:r>
      <w:r>
        <w:rPr>
          <w:rFonts w:hint="eastAsia" w:ascii="方正仿宋_GBK" w:hAnsi="方正仿宋_GBK" w:eastAsia="方正仿宋_GBK" w:cs="方正仿宋_GBK"/>
          <w:b/>
          <w:bCs w:val="0"/>
          <w:color w:val="000000" w:themeColor="text1"/>
          <w:sz w:val="24"/>
          <w:szCs w:val="24"/>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按有关规定，向采购人上级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主管</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部门投诉。</w:t>
      </w:r>
    </w:p>
    <w:p w14:paraId="638C06C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2.在提出投诉时，应附送相关证明材料。投诉书及证明材料为外文的，应同时提供其中文译本；中文与外文意思不一致的，以中文为准。</w:t>
      </w:r>
    </w:p>
    <w:p w14:paraId="3458DF5F">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14:textFill>
            <w14:solidFill>
              <w14:schemeClr w14:val="tx1"/>
            </w14:solidFill>
          </w14:textFill>
        </w:rPr>
        <w:t>七、成交通知</w:t>
      </w:r>
    </w:p>
    <w:p w14:paraId="07B4C3E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供应商确定后，招</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办将在重庆医科大学附属</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医院官网（</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https://www.rhcqmu.com/</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）发布成交结果公告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7174DD52">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、合同签订</w:t>
      </w:r>
    </w:p>
    <w:p w14:paraId="124C21EC">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bookmarkStart w:id="108" w:name="OLE_LINK49"/>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8"/>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供应商应于收到中标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通知书之日起</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30</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日内，按照中标项目的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采购文件与响应文件</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要求完成</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签订</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6F08136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bookmarkStart w:id="109" w:name="OLE_LINK39"/>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bookmarkEnd w:id="109"/>
      <w:bookmarkStart w:id="110" w:name="OLE_LINK20"/>
      <w:bookmarkStart w:id="111" w:name="OLE_LINK48"/>
      <w:bookmarkStart w:id="112" w:name="OLE_LINK47"/>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0"/>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无故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拒绝与采购人签订合同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或合同签订过程中修改遴选采购文件及合同实质性条款或内容，导致合同无法完成签订或延期签订</w:t>
      </w:r>
      <w:bookmarkEnd w:id="11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或放弃中标（成交）资格等情况的，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采购人可以按照评标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结果</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推荐的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候选投标人顺序，确定排名下一位的候选人为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供应商，也可以重新开展</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采购活动</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，同时采购人有权追究该中标（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法律责任并列入医院不诚信供应商“黑名单”并扣除该项目的投标保证金，</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三年内</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27EECE2B">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（三）如</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人因</w:t>
      </w:r>
      <w:bookmarkStart w:id="113" w:name="OLE_LINK5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3"/>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违反前款</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所列情况</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而造成损失</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供应商应予以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赔偿，同时依法承担相应法律责任。</w:t>
      </w:r>
    </w:p>
    <w:p w14:paraId="5DD10ABD">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（四）</w:t>
      </w:r>
      <w:bookmarkStart w:id="114" w:name="OLE_LINK5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bookmarkStart w:id="115" w:name="OLE_LINK5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5"/>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4"/>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应当按照合同约定履行义务，完成中标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项目，不得将中标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项目转让(转包)或分包给他人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1D79D14B">
      <w:pPr>
        <w:pStyle w:val="2"/>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第</w:t>
      </w:r>
      <w:r>
        <w:rPr>
          <w:rFonts w:hint="eastAsia" w:ascii="方正小标宋_GBK" w:hAnsi="方正小标宋_GBK" w:eastAsia="方正小标宋_GBK" w:cs="方正小标宋_GBK"/>
          <w:b/>
          <w:bCs/>
          <w:color w:val="000000" w:themeColor="text1"/>
          <w:sz w:val="36"/>
          <w:szCs w:val="36"/>
          <w:lang w:eastAsia="zh-CN"/>
          <w14:textFill>
            <w14:solidFill>
              <w14:schemeClr w14:val="tx1"/>
            </w14:solidFill>
          </w14:textFill>
        </w:rPr>
        <w:t>六</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 xml:space="preserve">篇 </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响应文件</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格式</w:t>
      </w:r>
    </w:p>
    <w:p w14:paraId="213152E9">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lang w:eastAsia="zh-CN"/>
          <w14:textFill>
            <w14:solidFill>
              <w14:schemeClr w14:val="tx1"/>
            </w14:solidFill>
          </w14:textFill>
        </w:rPr>
        <w:t>耗材遴选</w:t>
      </w:r>
      <w:r>
        <w:rPr>
          <w:rFonts w:hint="eastAsia" w:ascii="方正小标宋_GBK" w:hAnsi="方正小标宋_GBK" w:eastAsia="方正小标宋_GBK" w:cs="方正小标宋_GBK"/>
          <w:color w:val="000000" w:themeColor="text1"/>
          <w:sz w:val="130"/>
          <w:szCs w:val="130"/>
          <w14:textFill>
            <w14:solidFill>
              <w14:schemeClr w14:val="tx1"/>
            </w14:solidFill>
          </w14:textFill>
        </w:rPr>
        <w:t>采购</w:t>
      </w:r>
    </w:p>
    <w:p w14:paraId="717D543C">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14:textFill>
            <w14:solidFill>
              <w14:schemeClr w14:val="tx1"/>
            </w14:solidFill>
          </w14:textFill>
        </w:rPr>
        <w:t>响应文件</w:t>
      </w:r>
    </w:p>
    <w:p w14:paraId="3D793B28">
      <w:pPr>
        <w:spacing w:line="600" w:lineRule="exact"/>
        <w:jc w:val="center"/>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（正本/副本）</w:t>
      </w:r>
    </w:p>
    <w:p w14:paraId="5FBA9DB4">
      <w:pPr>
        <w:spacing w:line="700" w:lineRule="exact"/>
        <w:ind w:left="0" w:leftChars="0" w:firstLine="0" w:firstLineChars="0"/>
        <w:jc w:val="both"/>
        <w:rPr>
          <w:rFonts w:hint="eastAsia" w:ascii="微软雅黑" w:hAnsi="微软雅黑" w:eastAsia="微软雅黑" w:cs="微软雅黑"/>
          <w:color w:val="000000" w:themeColor="text1"/>
          <w:spacing w:val="80"/>
          <w:sz w:val="130"/>
          <w:szCs w:val="130"/>
          <w14:textFill>
            <w14:solidFill>
              <w14:schemeClr w14:val="tx1"/>
            </w14:solidFill>
          </w14:textFill>
        </w:rPr>
      </w:pPr>
    </w:p>
    <w:p w14:paraId="6779D3B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7DCAA2FE">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19F6BD8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2CE2E94A">
      <w:pPr>
        <w:pStyle w:val="5"/>
        <w:ind w:firstLine="1080" w:firstLineChars="300"/>
        <w:jc w:val="left"/>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lang w:val="en-US" w:eastAsia="zh-CN"/>
          <w14:textFill>
            <w14:solidFill>
              <w14:schemeClr w14:val="tx1"/>
            </w14:solidFill>
          </w14:textFill>
        </w:rPr>
        <w:t>投标人地址：</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405C072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投标人法定代表人</w:t>
      </w:r>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33BDF301">
      <w:pPr>
        <w:spacing w:line="360" w:lineRule="auto"/>
        <w:ind w:firstLine="1080" w:firstLineChars="300"/>
        <w:jc w:val="left"/>
        <w:outlineLvl w:val="0"/>
        <w:rPr>
          <w:rFonts w:hint="default"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授权代理人：</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2D828A15">
      <w:pPr>
        <w:spacing w:line="360" w:lineRule="auto"/>
        <w:ind w:firstLine="1080" w:firstLineChars="300"/>
        <w:jc w:val="left"/>
        <w:outlineLvl w:val="0"/>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联系电话：</w:t>
      </w:r>
      <w:r>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t xml:space="preserve">                           </w:t>
      </w:r>
    </w:p>
    <w:p w14:paraId="2057F755">
      <w:pPr>
        <w:pStyle w:val="5"/>
        <w:ind w:firstLine="1080" w:firstLineChars="3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u w:val="none"/>
          <w:lang w:eastAsia="zh-CN"/>
          <w14:textFill>
            <w14:solidFill>
              <w14:schemeClr w14:val="tx1"/>
            </w14:solidFill>
          </w14:textFill>
        </w:rPr>
        <w:t>电子邮箱：</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74592B85">
      <w:pPr>
        <w:pStyle w:val="4"/>
        <w:ind w:firstLine="3600" w:firstLineChars="10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2026</w:t>
      </w:r>
      <w:r>
        <w:rPr>
          <w:rFonts w:hint="eastAsia" w:ascii="方正小标宋_GBK" w:hAnsi="方正小标宋_GBK" w:eastAsia="方正小标宋_GBK" w:cs="方正小标宋_GBK"/>
          <w:color w:val="000000" w:themeColor="text1"/>
          <w:sz w:val="36"/>
          <w:szCs w:val="36"/>
          <w14:textFill>
            <w14:solidFill>
              <w14:schemeClr w14:val="tx1"/>
            </w14:solidFill>
          </w14:textFill>
        </w:rPr>
        <w:t>年</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14:textFill>
            <w14:solidFill>
              <w14:schemeClr w14:val="tx1"/>
            </w14:solidFill>
          </w14:textFill>
        </w:rPr>
        <w:t>月</w:t>
      </w:r>
    </w:p>
    <w:p w14:paraId="5F9BF752">
      <w:pPr>
        <w:pStyle w:val="5"/>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7BC400AE">
      <w:pPr>
        <w:ind w:firstLine="0" w:firstLineChars="0"/>
        <w:jc w:val="both"/>
        <w:rPr>
          <w:rFonts w:hint="eastAsia"/>
          <w:b/>
          <w:bCs/>
          <w:color w:val="000000" w:themeColor="text1"/>
          <w:sz w:val="36"/>
          <w:szCs w:val="36"/>
          <w14:textFill>
            <w14:solidFill>
              <w14:schemeClr w14:val="tx1"/>
            </w14:solidFill>
          </w14:textFill>
        </w:rPr>
      </w:pPr>
    </w:p>
    <w:p w14:paraId="7F5EE404">
      <w:pPr>
        <w:ind w:firstLine="0" w:firstLineChars="0"/>
        <w:jc w:val="center"/>
        <w:rPr>
          <w:rFonts w:hint="eastAsia" w:ascii="方正仿宋_GBK" w:hAnsi="方正仿宋_GBK" w:eastAsia="方正仿宋_GBK" w:cs="方正仿宋_GBK"/>
          <w:color w:val="000000" w:themeColor="text1"/>
          <w:sz w:val="44"/>
          <w:szCs w:val="44"/>
          <w14:textFill>
            <w14:solidFill>
              <w14:schemeClr w14:val="tx1"/>
            </w14:solidFill>
          </w14:textFill>
        </w:rPr>
      </w:pPr>
      <w:r>
        <w:rPr>
          <w:rFonts w:hint="eastAsia" w:ascii="方正仿宋_GBK" w:hAnsi="方正仿宋_GBK" w:eastAsia="方正仿宋_GBK" w:cs="方正仿宋_GBK"/>
          <w:b/>
          <w:bCs/>
          <w:color w:val="000000" w:themeColor="text1"/>
          <w:sz w:val="44"/>
          <w:szCs w:val="44"/>
          <w14:textFill>
            <w14:solidFill>
              <w14:schemeClr w14:val="tx1"/>
            </w14:solidFill>
          </w14:textFill>
        </w:rPr>
        <w:t>目   录</w:t>
      </w:r>
    </w:p>
    <w:p w14:paraId="0EFB72C6">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16" w:name="_Toc31803"/>
      <w:bookmarkStart w:id="117" w:name="_Toc1376"/>
      <w:bookmarkStart w:id="118" w:name="_Toc27813"/>
      <w:bookmarkStart w:id="119" w:name="_Toc14115"/>
      <w:bookmarkStart w:id="120" w:name="_Toc21609"/>
      <w:bookmarkStart w:id="121" w:name="_Toc16632"/>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营业执照（副本）或事业单位法人证书（副本）复印件……X</w:t>
      </w:r>
      <w:bookmarkEnd w:id="116"/>
      <w:bookmarkEnd w:id="117"/>
      <w:bookmarkEnd w:id="118"/>
      <w:bookmarkEnd w:id="119"/>
    </w:p>
    <w:bookmarkEnd w:id="120"/>
    <w:bookmarkEnd w:id="121"/>
    <w:p w14:paraId="001319CF">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22" w:name="_Toc23448"/>
      <w:bookmarkStart w:id="123" w:name="_Toc14134"/>
      <w:bookmarkStart w:id="124" w:name="_Toc11973"/>
      <w:bookmarkStart w:id="125" w:name="_Toc961"/>
      <w:bookmarkStart w:id="126" w:name="_Toc19692"/>
      <w:bookmarkStart w:id="127" w:name="_Toc29161"/>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法定代表人身份证明书（格式）………………………………X</w:t>
      </w:r>
      <w:bookmarkEnd w:id="122"/>
      <w:bookmarkEnd w:id="123"/>
      <w:bookmarkEnd w:id="124"/>
      <w:bookmarkEnd w:id="125"/>
      <w:bookmarkEnd w:id="126"/>
      <w:bookmarkEnd w:id="127"/>
      <w:bookmarkStart w:id="128" w:name="_Toc31370"/>
      <w:bookmarkEnd w:id="128"/>
      <w:bookmarkStart w:id="129" w:name="_Toc9103"/>
      <w:bookmarkEnd w:id="129"/>
      <w:bookmarkStart w:id="130" w:name="_Toc31226"/>
      <w:bookmarkEnd w:id="130"/>
      <w:bookmarkStart w:id="131" w:name="_Toc404"/>
      <w:bookmarkEnd w:id="131"/>
      <w:bookmarkStart w:id="132" w:name="_Toc17636"/>
      <w:bookmarkStart w:id="133" w:name="_Toc23948"/>
    </w:p>
    <w:p w14:paraId="28BCA326">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34" w:name="_Toc23777"/>
      <w:bookmarkStart w:id="135" w:name="_Toc550"/>
      <w:bookmarkStart w:id="136" w:name="_Toc7653"/>
      <w:bookmarkStart w:id="137" w:name="_Toc29715"/>
      <w:r>
        <w:rPr>
          <w:rFonts w:hint="eastAsia" w:ascii="方正仿宋_GBK" w:hAnsi="方正仿宋_GBK" w:eastAsia="方正仿宋_GBK" w:cs="方正仿宋_GBK"/>
          <w:b w:val="0"/>
          <w:bCs/>
          <w:color w:val="000000" w:themeColor="text1"/>
          <w:sz w:val="28"/>
          <w:szCs w:val="28"/>
          <w14:textFill>
            <w14:solidFill>
              <w14:schemeClr w14:val="tx1"/>
            </w14:solidFill>
          </w14:textFill>
        </w:rPr>
        <w:t>（三）法定代表人授权委托书（格式）</w:t>
      </w:r>
      <w:bookmarkStart w:id="138" w:name="OLE_LINK57"/>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32"/>
      <w:bookmarkEnd w:id="133"/>
      <w:bookmarkEnd w:id="134"/>
      <w:bookmarkEnd w:id="135"/>
      <w:bookmarkEnd w:id="136"/>
      <w:bookmarkEnd w:id="137"/>
      <w:bookmarkStart w:id="139" w:name="_Toc4015"/>
      <w:bookmarkStart w:id="140" w:name="_Toc9575"/>
    </w:p>
    <w:bookmarkEnd w:id="138"/>
    <w:p w14:paraId="600E28E4">
      <w:pPr>
        <w:pStyle w:val="3"/>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四</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）投标函（格式）……………</w:t>
      </w:r>
      <w:bookmarkStart w:id="141" w:name="OLE_LINK5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2" w:name="OLE_LINK5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2"/>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bookmarkEnd w:id="139"/>
    <w:bookmarkEnd w:id="140"/>
    <w:p w14:paraId="73CC59EC">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43" w:name="_Toc26259"/>
      <w:bookmarkStart w:id="144" w:name="_Toc22187"/>
      <w:bookmarkStart w:id="145" w:name="_Toc8767"/>
      <w:bookmarkStart w:id="146" w:name="_Toc23313"/>
      <w:bookmarkStart w:id="147" w:name="_Toc20872"/>
      <w:bookmarkStart w:id="148" w:name="_Toc8271"/>
      <w:r>
        <w:rPr>
          <w:rFonts w:hint="eastAsia" w:ascii="方正仿宋_GBK" w:hAnsi="方正仿宋_GBK" w:eastAsia="方正仿宋_GBK" w:cs="方正仿宋_GBK"/>
          <w:b w:val="0"/>
          <w:bCs/>
          <w:color w:val="000000" w:themeColor="text1"/>
          <w:sz w:val="28"/>
          <w:szCs w:val="28"/>
          <w14:textFill>
            <w14:solidFill>
              <w14:schemeClr w14:val="tx1"/>
            </w14:solidFill>
          </w14:textFill>
        </w:rPr>
        <w:t>（五）</w:t>
      </w:r>
      <w:bookmarkStart w:id="149" w:name="OLE_LINK60"/>
      <w:r>
        <w:rPr>
          <w:rFonts w:hint="eastAsia" w:ascii="方正仿宋_GBK" w:hAnsi="方正仿宋_GBK" w:eastAsia="方正仿宋_GBK" w:cs="方正仿宋_GBK"/>
          <w:b w:val="0"/>
          <w:bCs/>
          <w:color w:val="000000" w:themeColor="text1"/>
          <w:sz w:val="28"/>
          <w:szCs w:val="28"/>
          <w14:textFill>
            <w14:solidFill>
              <w14:schemeClr w14:val="tx1"/>
            </w14:solidFill>
          </w14:textFill>
        </w:rPr>
        <w:t>书面声明（格式）</w:t>
      </w:r>
      <w:bookmarkEnd w:id="14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50" w:name="OLE_LINK1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5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43"/>
      <w:bookmarkEnd w:id="144"/>
      <w:bookmarkEnd w:id="145"/>
      <w:bookmarkEnd w:id="146"/>
      <w:bookmarkEnd w:id="147"/>
      <w:bookmarkEnd w:id="148"/>
    </w:p>
    <w:p w14:paraId="5562AE50">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基本资格条件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书面声明（格式）</w:t>
      </w:r>
    </w:p>
    <w:p w14:paraId="6E26A2A1">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1" w:name="OLE_LINK65"/>
      <w:r>
        <w:rPr>
          <w:rFonts w:hint="eastAsia" w:ascii="方正仿宋_GBK" w:hAnsi="方正仿宋_GBK" w:eastAsia="方正仿宋_GBK" w:cs="方正仿宋_GBK"/>
          <w:b w:val="0"/>
          <w:bCs/>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p>
    <w:bookmarkEnd w:id="151"/>
    <w:p w14:paraId="5303F96F">
      <w:pPr>
        <w:numPr>
          <w:ilvl w:val="0"/>
          <w:numId w:val="0"/>
        </w:numPr>
        <w:spacing w:line="480" w:lineRule="auto"/>
        <w:ind w:firstLine="0" w:firstLineChars="0"/>
        <w:jc w:val="left"/>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152" w:name="OLE_LINK67"/>
      <w:bookmarkStart w:id="153" w:name="OLE_LINK85"/>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bookmarkEnd w:id="152"/>
      <w:r>
        <w:rPr>
          <w:rFonts w:hint="eastAsia" w:ascii="方正仿宋_GBK" w:hAnsi="方正仿宋_GBK" w:eastAsia="方正仿宋_GBK" w:cs="方正仿宋_GBK"/>
          <w:bCs/>
          <w:color w:val="000000" w:themeColor="text1"/>
          <w:sz w:val="28"/>
          <w:szCs w:val="28"/>
          <w14:textFill>
            <w14:solidFill>
              <w14:schemeClr w14:val="tx1"/>
            </w14:solidFill>
          </w14:textFill>
        </w:rPr>
        <w:t>…………………………………………………………X</w:t>
      </w:r>
    </w:p>
    <w:bookmarkEnd w:id="153"/>
    <w:p w14:paraId="31FC30D8">
      <w:pPr>
        <w:numPr>
          <w:ilvl w:val="0"/>
          <w:numId w:val="0"/>
        </w:numPr>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val="0"/>
          <w:bCs w:val="0"/>
          <w:color w:val="000000" w:themeColor="text1"/>
          <w:sz w:val="28"/>
          <w:szCs w:val="28"/>
          <w:lang w:val="zh-CN"/>
          <w14:textFill>
            <w14:solidFill>
              <w14:schemeClr w14:val="tx1"/>
            </w14:solidFill>
          </w14:textFill>
        </w:rPr>
        <w:t>项目响应偏离表</w:t>
      </w:r>
      <w:r>
        <w:rPr>
          <w:rFonts w:hint="eastAsia" w:ascii="方正仿宋_GBK" w:hAnsi="方正仿宋_GBK" w:eastAsia="方正仿宋_GBK" w:cs="方正仿宋_GBK"/>
          <w:bCs/>
          <w:color w:val="000000" w:themeColor="text1"/>
          <w:sz w:val="28"/>
          <w:szCs w:val="28"/>
          <w14:textFill>
            <w14:solidFill>
              <w14:schemeClr w14:val="tx1"/>
            </w14:solidFill>
          </w14:textFill>
        </w:rPr>
        <w:t>…………………………………………………X</w:t>
      </w:r>
    </w:p>
    <w:p w14:paraId="0B6F67BC">
      <w:pPr>
        <w:adjustRightInd w:val="0"/>
        <w:snapToGrid w:val="0"/>
        <w:spacing w:line="440" w:lineRule="exact"/>
        <w:ind w:left="0" w:leftChars="0" w:firstLine="0" w:firstLineChars="0"/>
        <w:jc w:val="both"/>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4" w:name="_Toc24488"/>
      <w:bookmarkStart w:id="155" w:name="_Toc21077"/>
      <w:bookmarkStart w:id="156" w:name="_Toc17815"/>
      <w:bookmarkStart w:id="157" w:name="_Toc9264"/>
      <w:bookmarkStart w:id="158" w:name="OLE_LINK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val="en-US" w:eastAsia="zh-CN"/>
          <w14:textFill>
            <w14:solidFill>
              <w14:schemeClr w14:val="tx1"/>
            </w14:solidFill>
          </w14:textFill>
        </w:rPr>
        <w:t>廉洁诚信购销协议</w:t>
      </w:r>
      <w:bookmarkStart w:id="159" w:name="OLE_LINK9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54"/>
      <w:bookmarkEnd w:id="155"/>
      <w:bookmarkEnd w:id="156"/>
      <w:bookmarkEnd w:id="157"/>
      <w:bookmarkEnd w:id="159"/>
    </w:p>
    <w:p w14:paraId="6EC80639">
      <w:pPr>
        <w:pStyle w:val="5"/>
        <w:rPr>
          <w:rFonts w:hint="eastAsia"/>
          <w:color w:val="000000" w:themeColor="text1"/>
          <w:sz w:val="28"/>
          <w:szCs w:val="28"/>
          <w14:textFill>
            <w14:solidFill>
              <w14:schemeClr w14:val="tx1"/>
            </w14:solidFill>
          </w14:textFill>
        </w:rPr>
      </w:pPr>
    </w:p>
    <w:bookmarkEnd w:id="158"/>
    <w:p w14:paraId="611604A5">
      <w:pPr>
        <w:adjustRightInd w:val="0"/>
        <w:snapToGrid w:val="0"/>
        <w:spacing w:line="440" w:lineRule="exact"/>
        <w:ind w:left="0" w:leftChars="0" w:firstLine="0" w:firstLineChars="0"/>
        <w:jc w:val="left"/>
        <w:rPr>
          <w:rFonts w:hint="eastAsia" w:ascii="方正仿宋_GBK" w:hAnsi="方正仿宋_GBK" w:eastAsia="方正仿宋_GBK" w:cs="方正仿宋_GBK"/>
          <w:b w:val="0"/>
          <w:bCs w:val="0"/>
          <w:color w:val="000000" w:themeColor="text1"/>
          <w:sz w:val="28"/>
          <w:szCs w:val="28"/>
          <w14:textFill>
            <w14:solidFill>
              <w14:schemeClr w14:val="tx1"/>
            </w14:solidFill>
          </w14:textFill>
        </w:rPr>
      </w:pPr>
      <w:bookmarkStart w:id="160" w:name="OLE_LINK8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九</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0"/>
      <w:r>
        <w:rPr>
          <w:rFonts w:hint="eastAsia" w:ascii="方正仿宋_GBK" w:hAnsi="方正仿宋_GBK" w:eastAsia="方正仿宋_GBK" w:cs="方正仿宋_GBK"/>
          <w:b w:val="0"/>
          <w:bCs w:val="0"/>
          <w:color w:val="000000" w:themeColor="text1"/>
          <w:sz w:val="28"/>
          <w:szCs w:val="28"/>
          <w:lang w:eastAsia="zh-CN"/>
          <w14:textFill>
            <w14:solidFill>
              <w14:schemeClr w14:val="tx1"/>
            </w14:solidFill>
          </w14:textFill>
        </w:rPr>
        <w:t>比对国家医保码完全正确承诺书</w:t>
      </w:r>
      <w:bookmarkStart w:id="161" w:name="OLE_LINK73"/>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bookmarkEnd w:id="161"/>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X</w:t>
      </w:r>
    </w:p>
    <w:p w14:paraId="1890806A">
      <w:pPr>
        <w:pStyle w:val="5"/>
        <w:rPr>
          <w:rFonts w:hint="eastAsia"/>
          <w:color w:val="000000" w:themeColor="text1"/>
          <w:sz w:val="28"/>
          <w:szCs w:val="28"/>
          <w14:textFill>
            <w14:solidFill>
              <w14:schemeClr w14:val="tx1"/>
            </w14:solidFill>
          </w14:textFill>
        </w:rPr>
      </w:pPr>
    </w:p>
    <w:p w14:paraId="47FA4269">
      <w:pPr>
        <w:spacing w:line="400" w:lineRule="exact"/>
        <w:ind w:left="0" w:leftChars="0" w:firstLine="0" w:firstLineChars="0"/>
        <w:rPr>
          <w:rFonts w:hint="eastAsia" w:ascii="方正仿宋_GBK" w:hAnsi="方正仿宋_GBK" w:eastAsia="方正仿宋_GBK" w:cs="方正仿宋_GBK"/>
          <w:color w:val="000000" w:themeColor="text1"/>
          <w:sz w:val="28"/>
          <w:szCs w:val="28"/>
          <w14:textFill>
            <w14:solidFill>
              <w14:schemeClr w14:val="tx1"/>
            </w14:solidFill>
          </w14:textFill>
        </w:rPr>
      </w:pPr>
      <w:bookmarkStart w:id="162" w:name="OLE_LINK9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十</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其他资料</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3" w:name="OLE_LINK9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4" w:name="OLE_LINK9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4"/>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p w14:paraId="685A3944">
      <w:pPr>
        <w:spacing w:line="400" w:lineRule="exact"/>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其他与项目有关的资料</w:t>
      </w:r>
    </w:p>
    <w:bookmarkEnd w:id="162"/>
    <w:p w14:paraId="55BF1D55">
      <w:pPr>
        <w:pStyle w:val="5"/>
        <w:ind w:left="0" w:leftChars="0" w:firstLine="0" w:firstLineChars="0"/>
        <w:rPr>
          <w:rFonts w:hint="eastAsia"/>
          <w:b w:val="0"/>
          <w:bCs w:val="0"/>
          <w:color w:val="000000" w:themeColor="text1"/>
          <w:sz w:val="28"/>
          <w:szCs w:val="28"/>
          <w14:textFill>
            <w14:solidFill>
              <w14:schemeClr w14:val="tx1"/>
            </w14:solidFill>
          </w14:textFill>
        </w:rPr>
      </w:pPr>
    </w:p>
    <w:p w14:paraId="02CE1D73">
      <w:pPr>
        <w:pStyle w:val="5"/>
        <w:rPr>
          <w:rFonts w:hint="eastAsia"/>
          <w:color w:val="000000" w:themeColor="text1"/>
          <w:sz w:val="28"/>
          <w:szCs w:val="28"/>
          <w:lang w:eastAsia="zh-CN"/>
          <w14:textFill>
            <w14:solidFill>
              <w14:schemeClr w14:val="tx1"/>
            </w14:solidFill>
          </w14:textFill>
        </w:rPr>
        <w:sectPr>
          <w:footerReference r:id="rId5" w:type="default"/>
          <w:footerReference r:id="rId6"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p>
    <w:p w14:paraId="003A529D">
      <w:pPr>
        <w:numPr>
          <w:ilvl w:val="0"/>
          <w:numId w:val="0"/>
        </w:numPr>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kern w:val="2"/>
          <w:sz w:val="32"/>
          <w:szCs w:val="32"/>
          <w:lang w:val="en-US" w:eastAsia="zh-CN" w:bidi="ar-SA"/>
          <w14:textFill>
            <w14:solidFill>
              <w14:schemeClr w14:val="tx1"/>
            </w14:solidFill>
          </w14:textFill>
        </w:rPr>
        <w:t>（一）</w:t>
      </w:r>
      <w:r>
        <w:rPr>
          <w:rFonts w:hint="eastAsia" w:ascii="华文仿宋" w:hAnsi="华文仿宋" w:eastAsia="华文仿宋" w:cs="华文仿宋"/>
          <w:b/>
          <w:bCs/>
          <w:color w:val="000000" w:themeColor="text1"/>
          <w:sz w:val="32"/>
          <w:szCs w:val="32"/>
          <w14:textFill>
            <w14:solidFill>
              <w14:schemeClr w14:val="tx1"/>
            </w14:solidFill>
          </w14:textFill>
        </w:rPr>
        <w:t>营业执照（副本）或事业单位法人证书（副本）复印件</w:t>
      </w:r>
    </w:p>
    <w:p w14:paraId="1DE7E501">
      <w:pPr>
        <w:pStyle w:val="4"/>
        <w:ind w:left="0" w:leftChars="0" w:firstLine="0" w:firstLineChars="0"/>
        <w:rPr>
          <w:rFonts w:hint="eastAsia" w:ascii="华文仿宋" w:hAnsi="华文仿宋" w:eastAsia="华文仿宋" w:cs="华文仿宋"/>
          <w:b/>
          <w:bCs/>
          <w:color w:val="000000" w:themeColor="text1"/>
          <w:sz w:val="32"/>
          <w:szCs w:val="32"/>
          <w14:textFill>
            <w14:solidFill>
              <w14:schemeClr w14:val="tx1"/>
            </w14:solidFill>
          </w14:textFill>
        </w:rPr>
      </w:pPr>
    </w:p>
    <w:p w14:paraId="223AD5F9">
      <w:pPr>
        <w:pStyle w:val="5"/>
        <w:rPr>
          <w:rFonts w:hint="eastAsia"/>
          <w:color w:val="000000" w:themeColor="text1"/>
          <w14:textFill>
            <w14:solidFill>
              <w14:schemeClr w14:val="tx1"/>
            </w14:solidFill>
          </w14:textFill>
        </w:rPr>
      </w:pPr>
    </w:p>
    <w:p w14:paraId="6489899E">
      <w:pPr>
        <w:ind w:left="0" w:leftChars="0" w:firstLine="0" w:firstLineChars="0"/>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（二）法定代表人身份证明书（格式）</w:t>
      </w:r>
    </w:p>
    <w:p w14:paraId="1D1DC141">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（法定代表人姓名）      </w:t>
      </w: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任</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（职务名称）      </w:t>
      </w:r>
      <w:r>
        <w:rPr>
          <w:rFonts w:hint="eastAsia" w:ascii="方正仿宋_GBK" w:hAnsi="方正仿宋_GBK" w:eastAsia="方正仿宋_GBK" w:cs="方正仿宋_GBK"/>
          <w:color w:val="000000" w:themeColor="text1"/>
          <w:sz w:val="24"/>
          <w:szCs w:val="24"/>
          <w14:textFill>
            <w14:solidFill>
              <w14:schemeClr w14:val="tx1"/>
            </w14:solidFill>
          </w14:textFill>
        </w:rPr>
        <w:t>职务，是</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的法定代表人。</w:t>
      </w:r>
    </w:p>
    <w:p w14:paraId="7BF3D71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65" w:name="_Toc128229745"/>
      <w:bookmarkStart w:id="166" w:name="_Toc175017342"/>
      <w:bookmarkStart w:id="167" w:name="_Toc128229916"/>
      <w:bookmarkStart w:id="168" w:name="_Toc156815770"/>
      <w:bookmarkStart w:id="169" w:name="_Toc128229302"/>
      <w:bookmarkStart w:id="170" w:name="_Toc156730450"/>
      <w:bookmarkStart w:id="171" w:name="_Toc166549448"/>
      <w:bookmarkStart w:id="172" w:name="_Toc156196470"/>
      <w:bookmarkStart w:id="173" w:name="_Toc156196559"/>
      <w:bookmarkStart w:id="174" w:name="_Toc173677397"/>
      <w:bookmarkStart w:id="175" w:name="_Toc166139912"/>
      <w:r>
        <w:rPr>
          <w:rFonts w:hint="eastAsia" w:ascii="方正仿宋_GBK" w:hAnsi="方正仿宋_GBK" w:eastAsia="方正仿宋_GBK" w:cs="方正仿宋_GBK"/>
          <w:color w:val="000000" w:themeColor="text1"/>
          <w:sz w:val="24"/>
          <w:szCs w:val="24"/>
          <w14:textFill>
            <w14:solidFill>
              <w14:schemeClr w14:val="tx1"/>
            </w14:solidFill>
          </w14:textFill>
        </w:rPr>
        <w:t>特此证明。</w:t>
      </w:r>
      <w:bookmarkEnd w:id="165"/>
      <w:bookmarkEnd w:id="166"/>
      <w:bookmarkEnd w:id="167"/>
      <w:bookmarkEnd w:id="168"/>
      <w:bookmarkEnd w:id="169"/>
      <w:bookmarkEnd w:id="170"/>
      <w:bookmarkEnd w:id="171"/>
      <w:bookmarkEnd w:id="172"/>
      <w:bookmarkEnd w:id="173"/>
      <w:bookmarkEnd w:id="174"/>
      <w:bookmarkEnd w:id="175"/>
    </w:p>
    <w:p w14:paraId="6BF25C47">
      <w:pPr>
        <w:pStyle w:val="5"/>
        <w:spacing w:line="240" w:lineRule="auto"/>
        <w:ind w:firstLine="482" w:firstLineChars="20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（附法定代表人身份证双面复印件）</w:t>
      </w:r>
    </w:p>
    <w:p w14:paraId="59277138">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Start w:id="176" w:name="_Toc156815771"/>
      <w:bookmarkStart w:id="177" w:name="_Toc166549449"/>
      <w:bookmarkStart w:id="178" w:name="_Toc156730451"/>
      <w:bookmarkStart w:id="179" w:name="_Toc156196560"/>
      <w:bookmarkStart w:id="180" w:name="_Toc166139913"/>
      <w:bookmarkStart w:id="181" w:name="_Toc128229746"/>
      <w:bookmarkStart w:id="182" w:name="_Toc175017343"/>
      <w:bookmarkStart w:id="183" w:name="_Toc173677398"/>
      <w:bookmarkStart w:id="184" w:name="_Toc128229917"/>
      <w:bookmarkStart w:id="185" w:name="_Toc128229303"/>
      <w:bookmarkStart w:id="186" w:name="_Toc156196471"/>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投标人全称</w:t>
      </w:r>
      <w:bookmarkEnd w:id="176"/>
      <w:bookmarkEnd w:id="177"/>
      <w:bookmarkEnd w:id="178"/>
      <w:bookmarkEnd w:id="179"/>
      <w:bookmarkEnd w:id="180"/>
      <w:bookmarkEnd w:id="181"/>
      <w:bookmarkEnd w:id="182"/>
      <w:bookmarkEnd w:id="183"/>
      <w:bookmarkEnd w:id="184"/>
      <w:bookmarkEnd w:id="185"/>
      <w:bookmarkEnd w:id="186"/>
      <w:r>
        <w:rPr>
          <w:rFonts w:hint="eastAsia" w:ascii="方正仿宋_GBK" w:hAnsi="方正仿宋_GBK" w:eastAsia="方正仿宋_GBK" w:cs="方正仿宋_GBK"/>
          <w:color w:val="000000" w:themeColor="text1"/>
          <w:sz w:val="24"/>
          <w:szCs w:val="24"/>
          <w14:textFill>
            <w14:solidFill>
              <w14:schemeClr w14:val="tx1"/>
            </w14:solidFill>
          </w14:textFill>
        </w:rPr>
        <w:t>：（公章）</w:t>
      </w:r>
    </w:p>
    <w:p w14:paraId="4467A556">
      <w:pPr>
        <w:tabs>
          <w:tab w:val="left" w:pos="6300"/>
        </w:tabs>
        <w:adjustRightInd w:val="0"/>
        <w:snapToGrid w:val="0"/>
        <w:spacing w:line="360" w:lineRule="auto"/>
        <w:ind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年   月   日                    </w:t>
      </w:r>
    </w:p>
    <w:p w14:paraId="57D0F4A7">
      <w:pPr>
        <w:ind w:firstLine="0" w:firstLineChars="0"/>
        <w:outlineLvl w:val="1"/>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87" w:name="_Toc128229304"/>
      <w:bookmarkStart w:id="188" w:name="_Toc128014297"/>
      <w:bookmarkStart w:id="189" w:name="_Toc128229747"/>
      <w:bookmarkStart w:id="190" w:name="_Toc156196472"/>
      <w:bookmarkStart w:id="191" w:name="_Toc175017344"/>
      <w:bookmarkStart w:id="192" w:name="_Toc173677399"/>
      <w:bookmarkStart w:id="193" w:name="_Toc237057793"/>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End w:id="187"/>
      <w:bookmarkEnd w:id="188"/>
      <w:bookmarkEnd w:id="189"/>
      <w:bookmarkEnd w:id="190"/>
      <w:bookmarkEnd w:id="191"/>
      <w:bookmarkEnd w:id="192"/>
      <w:bookmarkEnd w:id="193"/>
      <w:bookmarkStart w:id="194" w:name="OLE_LINK54"/>
      <w:bookmarkStart w:id="195" w:name="_Toc24854"/>
    </w:p>
    <w:p w14:paraId="38912068">
      <w:pPr>
        <w:ind w:firstLine="0" w:firstLineChars="0"/>
        <w:outlineLvl w:val="1"/>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（三）</w:t>
      </w:r>
      <w:bookmarkEnd w:id="194"/>
      <w:r>
        <w:rPr>
          <w:rFonts w:hint="eastAsia" w:ascii="华文仿宋" w:hAnsi="华文仿宋" w:eastAsia="华文仿宋" w:cs="华文仿宋"/>
          <w:b/>
          <w:bCs/>
          <w:color w:val="000000" w:themeColor="text1"/>
          <w:sz w:val="32"/>
          <w:szCs w:val="32"/>
          <w14:textFill>
            <w14:solidFill>
              <w14:schemeClr w14:val="tx1"/>
            </w14:solidFill>
          </w14:textFill>
        </w:rPr>
        <w:t>法定代表人授权委托书</w:t>
      </w:r>
      <w:bookmarkStart w:id="196" w:name="OLE_LINK55"/>
      <w:r>
        <w:rPr>
          <w:rFonts w:hint="eastAsia" w:ascii="华文仿宋" w:hAnsi="华文仿宋" w:eastAsia="华文仿宋" w:cs="华文仿宋"/>
          <w:b/>
          <w:bCs/>
          <w:color w:val="000000" w:themeColor="text1"/>
          <w:sz w:val="32"/>
          <w:szCs w:val="32"/>
          <w14:textFill>
            <w14:solidFill>
              <w14:schemeClr w14:val="tx1"/>
            </w14:solidFill>
          </w14:textFill>
        </w:rPr>
        <w:t>（格式）</w:t>
      </w:r>
      <w:bookmarkEnd w:id="195"/>
      <w:bookmarkEnd w:id="196"/>
    </w:p>
    <w:p w14:paraId="43CD58B5">
      <w:pPr>
        <w:tabs>
          <w:tab w:val="left" w:pos="6300"/>
        </w:tabs>
        <w:adjustRightInd w:val="0"/>
        <w:snapToGrid w:val="0"/>
        <w:spacing w:line="360" w:lineRule="auto"/>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4083FCFF">
      <w:pPr>
        <w:tabs>
          <w:tab w:val="left" w:pos="6300"/>
        </w:tabs>
        <w:adjustRightInd w:val="0"/>
        <w:snapToGrid w:val="0"/>
        <w:spacing w:line="360" w:lineRule="auto"/>
        <w:rPr>
          <w:rFonts w:hint="eastAsia" w:ascii="方正仿宋_GBK" w:hAnsi="方正仿宋_GBK" w:eastAsia="方正仿宋_GBK" w:cs="方正仿宋_GBK"/>
          <w:color w:val="000000" w:themeColor="text1"/>
          <w:sz w:val="24"/>
          <w:szCs w:val="24"/>
          <w:u w:val="single"/>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重庆医科大学附属康复医院</w:t>
      </w:r>
    </w:p>
    <w:p w14:paraId="2EF2F64F">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（投标人名称）</w:t>
      </w:r>
      <w:r>
        <w:rPr>
          <w:rFonts w:hint="eastAsia" w:ascii="方正仿宋_GBK" w:hAnsi="方正仿宋_GBK" w:eastAsia="方正仿宋_GBK" w:cs="方正仿宋_GBK"/>
          <w:color w:val="000000" w:themeColor="text1"/>
          <w:sz w:val="24"/>
          <w:szCs w:val="24"/>
          <w14:textFill>
            <w14:solidFill>
              <w14:schemeClr w14:val="tx1"/>
            </w14:solidFill>
          </w14:textFill>
        </w:rPr>
        <w:t>是中华人民共和国合法企业，法定地址</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u w:val="none"/>
          <w14:textFill>
            <w14:solidFill>
              <w14:schemeClr w14:val="tx1"/>
            </w14:solidFill>
          </w14:textFill>
        </w:rPr>
        <w:t>。</w:t>
      </w:r>
    </w:p>
    <w:p w14:paraId="2D38CE95">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（投标人法定代表人姓名）</w:t>
      </w:r>
      <w:r>
        <w:rPr>
          <w:rFonts w:hint="eastAsia" w:ascii="方正仿宋_GBK" w:hAnsi="方正仿宋_GBK" w:eastAsia="方正仿宋_GBK" w:cs="方正仿宋_GBK"/>
          <w:color w:val="000000" w:themeColor="text1"/>
          <w:sz w:val="24"/>
          <w:szCs w:val="24"/>
          <w14:textFill>
            <w14:solidFill>
              <w14:schemeClr w14:val="tx1"/>
            </w14:solidFill>
          </w14:textFill>
        </w:rPr>
        <w:t>特授权</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（被授权人姓名及身份证代码）</w:t>
      </w:r>
      <w:r>
        <w:rPr>
          <w:rFonts w:hint="eastAsia" w:ascii="方正仿宋_GBK" w:hAnsi="方正仿宋_GBK" w:eastAsia="方正仿宋_GBK" w:cs="方正仿宋_GBK"/>
          <w:color w:val="000000" w:themeColor="text1"/>
          <w:sz w:val="24"/>
          <w:szCs w:val="24"/>
          <w14:textFill>
            <w14:solidFill>
              <w14:schemeClr w14:val="tx1"/>
            </w14:solidFill>
          </w14:textFill>
        </w:rPr>
        <w:t>代表我单位全权办理对上述项目的投标、谈判、签约等具体工作，并签署全部有关的文件、协议及合同。</w:t>
      </w:r>
    </w:p>
    <w:p w14:paraId="53A2AB68">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我单位对被授权人的签名负全部责任。</w:t>
      </w:r>
    </w:p>
    <w:p w14:paraId="062E68EA">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撤销</w:t>
      </w:r>
      <w:r>
        <w:rPr>
          <w:rFonts w:hint="eastAsia" w:ascii="方正仿宋_GBK" w:hAnsi="方正仿宋_GBK" w:eastAsia="方正仿宋_GBK" w:cs="方正仿宋_GBK"/>
          <w:color w:val="000000" w:themeColor="text1"/>
          <w:sz w:val="24"/>
          <w:szCs w:val="24"/>
          <w14:textFill>
            <w14:solidFill>
              <w14:schemeClr w14:val="tx1"/>
            </w14:solidFill>
          </w14:textFill>
        </w:rPr>
        <w:t>授权的书面通知以前，本授权书一直有效。被授权人签署的所有文件（在授权书有效期内签署的）不因授权</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的撤销</w:t>
      </w:r>
      <w:r>
        <w:rPr>
          <w:rFonts w:hint="eastAsia" w:ascii="方正仿宋_GBK" w:hAnsi="方正仿宋_GBK" w:eastAsia="方正仿宋_GBK" w:cs="方正仿宋_GBK"/>
          <w:color w:val="000000" w:themeColor="text1"/>
          <w:sz w:val="24"/>
          <w:szCs w:val="24"/>
          <w14:textFill>
            <w14:solidFill>
              <w14:schemeClr w14:val="tx1"/>
            </w14:solidFill>
          </w14:textFill>
        </w:rPr>
        <w:t>的撤消而失效。</w:t>
      </w:r>
    </w:p>
    <w:p w14:paraId="58BB2F3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被授权人签名：                  投标人法定代表人签名：</w:t>
      </w:r>
    </w:p>
    <w:p w14:paraId="1D03E71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职  务：                        职  务：</w:t>
      </w:r>
    </w:p>
    <w:p w14:paraId="624254C0">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联系电话： </w:t>
      </w:r>
    </w:p>
    <w:p w14:paraId="206E397E">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被授权人</w:t>
      </w:r>
      <w:r>
        <w:rPr>
          <w:rFonts w:hint="eastAsia" w:ascii="方正仿宋_GBK" w:hAnsi="方正仿宋_GBK" w:eastAsia="方正仿宋_GBK" w:cs="方正仿宋_GBK"/>
          <w:color w:val="000000" w:themeColor="text1"/>
          <w:sz w:val="24"/>
          <w:szCs w:val="24"/>
          <w14:textFill>
            <w14:solidFill>
              <w14:schemeClr w14:val="tx1"/>
            </w14:solidFill>
          </w14:textFill>
        </w:rPr>
        <w:t>身份证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双面</w:t>
      </w:r>
      <w:r>
        <w:rPr>
          <w:rFonts w:hint="eastAsia" w:ascii="方正仿宋_GBK" w:hAnsi="方正仿宋_GBK" w:eastAsia="方正仿宋_GBK" w:cs="方正仿宋_GBK"/>
          <w:color w:val="000000" w:themeColor="text1"/>
          <w:sz w:val="24"/>
          <w:szCs w:val="24"/>
          <w14:textFill>
            <w14:solidFill>
              <w14:schemeClr w14:val="tx1"/>
            </w14:solidFill>
          </w14:textFill>
        </w:rPr>
        <w:t>复印件）</w:t>
      </w:r>
    </w:p>
    <w:p w14:paraId="783AF1F2">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投标人公章：</w:t>
      </w:r>
    </w:p>
    <w:p w14:paraId="12AEB3B9">
      <w:pPr>
        <w:ind w:firstLine="640"/>
        <w:rPr>
          <w:rFonts w:ascii="华文仿宋" w:hAnsi="华文仿宋" w:eastAsia="华文仿宋" w:cs="华文仿宋"/>
          <w:b/>
          <w:bCs/>
          <w:color w:val="000000" w:themeColor="text1"/>
          <w:sz w:val="24"/>
          <w:szCs w:val="24"/>
          <w14:textFill>
            <w14:solidFill>
              <w14:schemeClr w14:val="tx1"/>
            </w14:solidFill>
          </w14:textFill>
        </w:rPr>
      </w:pPr>
      <w:r>
        <w:rPr>
          <w:rFonts w:hint="eastAsia" w:ascii="华文仿宋" w:hAnsi="华文仿宋" w:eastAsia="华文仿宋" w:cs="华文仿宋"/>
          <w:b/>
          <w:bCs/>
          <w:color w:val="000000" w:themeColor="text1"/>
          <w:sz w:val="24"/>
          <w:szCs w:val="24"/>
          <w14:textFill>
            <w14:solidFill>
              <w14:schemeClr w14:val="tx1"/>
            </w14:solidFill>
          </w14:textFill>
        </w:rPr>
        <w:t>注：若为法定代表人办理并签署投标文件的，不提供此文件。</w:t>
      </w:r>
    </w:p>
    <w:p w14:paraId="61944160">
      <w:pPr>
        <w:pStyle w:val="4"/>
        <w:rPr>
          <w:rFonts w:hint="eastAsia"/>
          <w:color w:val="000000" w:themeColor="text1"/>
          <w14:textFill>
            <w14:solidFill>
              <w14:schemeClr w14:val="tx1"/>
            </w14:solidFill>
          </w14:textFill>
        </w:rPr>
      </w:pPr>
    </w:p>
    <w:p w14:paraId="6BFA2A8F">
      <w:pPr>
        <w:pStyle w:val="5"/>
        <w:ind w:left="0" w:leftChars="0" w:firstLine="0" w:firstLineChars="0"/>
        <w:rPr>
          <w:rFonts w:hint="eastAsia"/>
          <w:color w:val="000000" w:themeColor="text1"/>
          <w14:textFill>
            <w14:solidFill>
              <w14:schemeClr w14:val="tx1"/>
            </w14:solidFill>
          </w14:textFill>
        </w:rPr>
      </w:pPr>
    </w:p>
    <w:p w14:paraId="48DAF956">
      <w:pPr>
        <w:tabs>
          <w:tab w:val="left" w:pos="6300"/>
        </w:tabs>
        <w:snapToGrid w:val="0"/>
        <w:spacing w:line="600" w:lineRule="atLeast"/>
        <w:ind w:left="0" w:leftChars="0" w:firstLine="0" w:firstLineChars="0"/>
        <w:jc w:val="left"/>
        <w:rPr>
          <w:rFonts w:hint="eastAsia" w:ascii="微软雅黑" w:hAnsi="微软雅黑" w:eastAsia="微软雅黑" w:cs="微软雅黑"/>
          <w:color w:val="000000" w:themeColor="text1"/>
          <w:sz w:val="24"/>
          <w:szCs w:val="24"/>
          <w14:textFill>
            <w14:solidFill>
              <w14:schemeClr w14:val="tx1"/>
            </w14:solidFill>
          </w14:textFill>
        </w:rPr>
      </w:pPr>
      <w:bookmarkStart w:id="197" w:name="OLE_LINK64"/>
      <w:bookmarkStart w:id="198" w:name="OLE_LINK56"/>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四</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197"/>
      <w:r>
        <w:rPr>
          <w:rFonts w:hint="eastAsia" w:ascii="方正仿宋_GBK" w:hAnsi="方正仿宋_GBK" w:eastAsia="方正仿宋_GBK" w:cs="方正仿宋_GBK"/>
          <w:b/>
          <w:bCs/>
          <w:color w:val="000000" w:themeColor="text1"/>
          <w:sz w:val="30"/>
          <w:szCs w:val="30"/>
          <w14:textFill>
            <w14:solidFill>
              <w14:schemeClr w14:val="tx1"/>
            </w14:solidFill>
          </w14:textFill>
        </w:rPr>
        <w:t>投标函</w:t>
      </w:r>
      <w:r>
        <w:rPr>
          <w:rFonts w:hint="eastAsia" w:ascii="方正仿宋_GBK" w:hAnsi="方正仿宋_GBK" w:eastAsia="方正仿宋_GBK" w:cs="方正仿宋_GBK"/>
          <w:b/>
          <w:bCs/>
          <w:color w:val="000000" w:themeColor="text1"/>
          <w:sz w:val="32"/>
          <w:szCs w:val="32"/>
          <w14:textFill>
            <w14:solidFill>
              <w14:schemeClr w14:val="tx1"/>
            </w14:solidFill>
          </w14:textFill>
        </w:rPr>
        <w:t>（格式）</w:t>
      </w:r>
    </w:p>
    <w:bookmarkEnd w:id="198"/>
    <w:p w14:paraId="746BA4D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致：重庆医科大学附属</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14:textFill>
            <w14:solidFill>
              <w14:schemeClr w14:val="tx1"/>
            </w14:solidFill>
          </w14:textFill>
        </w:rPr>
        <w:t>医院：</w:t>
      </w:r>
    </w:p>
    <w:p w14:paraId="74F6F7C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（投标单位名称）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系中华人民共和国合法企业，注册地址：</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。我方就参加本次投标有关事项郑重声明如下：</w:t>
      </w:r>
    </w:p>
    <w:p w14:paraId="0F3D741E">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一、我方完全理解并接受该项目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采购文件所有要求。</w:t>
      </w:r>
    </w:p>
    <w:p w14:paraId="4029F6AB">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二、我方完全满足该项目招标公告和邀标书中提出的合格投标单位基本资格条件，如有虚假或隐瞒，我方愿意承担一切法律责任。</w:t>
      </w:r>
    </w:p>
    <w:p w14:paraId="256EE492">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三、我方提交的所有响应文件、资料都是准确和真实的，如有虚假或隐瞒，我方愿意承担一切法律责任。</w:t>
      </w:r>
    </w:p>
    <w:p w14:paraId="7BCB57A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四、我方承诺按照</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采购文件要求，提供招标项目的技术服务。</w:t>
      </w:r>
    </w:p>
    <w:p w14:paraId="170C9EB7">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五、我方按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采购文件要求提交的响应文件为：响应文件正本1份，副本</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份。</w:t>
      </w:r>
    </w:p>
    <w:p w14:paraId="4C73DB1F">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六、如果我方中标，我方将履行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采购文件中规定的各项要求以及我方响应文件的各项承诺，</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在招标文件规定时间签订供货合同，并按期、按质、按量完成任务，</w:t>
      </w:r>
      <w:r>
        <w:rPr>
          <w:rFonts w:hint="eastAsia" w:ascii="方正仿宋_GBK" w:hAnsi="方正仿宋_GBK" w:eastAsia="方正仿宋_GBK" w:cs="方正仿宋_GBK"/>
          <w:color w:val="000000" w:themeColor="text1"/>
          <w:sz w:val="24"/>
          <w:szCs w:val="24"/>
          <w14:textFill>
            <w14:solidFill>
              <w14:schemeClr w14:val="tx1"/>
            </w14:solidFill>
          </w14:textFill>
        </w:rPr>
        <w:t>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中华人民共和国政府采购法》《中华人民共和国民法典</w:t>
      </w:r>
      <w:r>
        <w:rPr>
          <w:rFonts w:hint="eastAsia" w:ascii="方正仿宋_GBK" w:hAnsi="方正仿宋_GBK" w:eastAsia="方正仿宋_GBK" w:cs="方正仿宋_GBK"/>
          <w:color w:val="000000" w:themeColor="text1"/>
          <w:sz w:val="24"/>
          <w:szCs w:val="24"/>
          <w14:textFill>
            <w14:solidFill>
              <w14:schemeClr w14:val="tx1"/>
            </w14:solidFill>
          </w14:textFill>
        </w:rPr>
        <w:t>》及合同约定条款承担我方责任。</w:t>
      </w:r>
    </w:p>
    <w:p w14:paraId="53341C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七、我方未为采购项目提供整体设计、规范编制或者项目管理、监理、检测等服务。</w:t>
      </w:r>
    </w:p>
    <w:p w14:paraId="071DCDB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八、我方完全理解并接受贵方不一定要接受最低报价的投标或收到的任何投标。</w:t>
      </w:r>
    </w:p>
    <w:p w14:paraId="6DBFF68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九、我方同意按有关规定及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（若有）</w:t>
      </w:r>
      <w:r>
        <w:rPr>
          <w:rFonts w:hint="eastAsia" w:ascii="方正仿宋_GBK" w:hAnsi="方正仿宋_GBK" w:eastAsia="方正仿宋_GBK" w:cs="方正仿宋_GBK"/>
          <w:color w:val="000000" w:themeColor="text1"/>
          <w:sz w:val="24"/>
          <w:szCs w:val="24"/>
          <w14:textFill>
            <w14:solidFill>
              <w14:schemeClr w14:val="tx1"/>
            </w14:solidFill>
          </w14:textFill>
        </w:rPr>
        <w:t>缴纳足额投标保证金。</w:t>
      </w:r>
    </w:p>
    <w:p w14:paraId="2B669B9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十、在正式合同准备好和签字前，本投标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函</w:t>
      </w:r>
      <w:r>
        <w:rPr>
          <w:rFonts w:hint="eastAsia" w:ascii="方正仿宋_GBK" w:hAnsi="方正仿宋_GBK" w:eastAsia="方正仿宋_GBK" w:cs="方正仿宋_GBK"/>
          <w:color w:val="000000" w:themeColor="text1"/>
          <w:sz w:val="24"/>
          <w:szCs w:val="24"/>
          <w14:textFill>
            <w14:solidFill>
              <w14:schemeClr w14:val="tx1"/>
            </w14:solidFill>
          </w14:textFill>
        </w:rPr>
        <w:t>及贵方的中标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通知书将构成约束我们双方的合同。</w:t>
      </w:r>
    </w:p>
    <w:p w14:paraId="5F34468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p w14:paraId="1B3D390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（投标人公章）</w:t>
      </w:r>
    </w:p>
    <w:p w14:paraId="500854FD">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p>
    <w:p w14:paraId="3D92203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年    月   日</w:t>
      </w:r>
    </w:p>
    <w:p w14:paraId="691F097E">
      <w:pPr>
        <w:tabs>
          <w:tab w:val="left" w:pos="6300"/>
        </w:tabs>
        <w:snapToGrid w:val="0"/>
        <w:spacing w:line="500" w:lineRule="exact"/>
        <w:ind w:firstLine="570"/>
        <w:rPr>
          <w:rFonts w:hint="eastAsia" w:ascii="微软雅黑" w:hAnsi="微软雅黑" w:eastAsia="微软雅黑" w:cs="微软雅黑"/>
          <w:color w:val="000000" w:themeColor="text1"/>
          <w14:textFill>
            <w14:solidFill>
              <w14:schemeClr w14:val="tx1"/>
            </w14:solidFill>
          </w14:textFill>
        </w:rPr>
      </w:pPr>
    </w:p>
    <w:p w14:paraId="52B5CF9E">
      <w:pPr>
        <w:pStyle w:val="16"/>
        <w:rPr>
          <w:rFonts w:hint="eastAsia" w:ascii="微软雅黑" w:hAnsi="微软雅黑" w:eastAsia="微软雅黑" w:cs="微软雅黑"/>
          <w:color w:val="000000" w:themeColor="text1"/>
          <w14:textFill>
            <w14:solidFill>
              <w14:schemeClr w14:val="tx1"/>
            </w14:solidFill>
          </w14:textFill>
        </w:rPr>
      </w:pPr>
    </w:p>
    <w:p w14:paraId="708365B6">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052F30A">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Start w:id="199" w:name="OLE_LINK62"/>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9"/>
    </w:p>
    <w:p w14:paraId="613AE233">
      <w:pPr>
        <w:tabs>
          <w:tab w:val="left" w:pos="6300"/>
        </w:tabs>
        <w:snapToGrid w:val="0"/>
        <w:spacing w:line="500" w:lineRule="exact"/>
        <w:ind w:firstLine="562" w:firstLineChars="200"/>
        <w:jc w:val="cente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bookmarkStart w:id="200" w:name="OLE_LINK63"/>
      <w:r>
        <w:rPr>
          <w:rFonts w:hint="eastAsia" w:ascii="方正仿宋_GBK" w:hAnsi="方正仿宋_GBK" w:eastAsia="方正仿宋_GBK" w:cs="方正仿宋_GBK"/>
          <w:b/>
          <w:bCs/>
          <w:color w:val="000000" w:themeColor="text1"/>
          <w:sz w:val="28"/>
          <w:szCs w:val="28"/>
          <w14:textFill>
            <w14:solidFill>
              <w14:schemeClr w14:val="tx1"/>
            </w14:solidFill>
          </w14:textFill>
        </w:rPr>
        <w:t>基本资格条件承诺函</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200"/>
    </w:p>
    <w:p w14:paraId="789209B8">
      <w:pPr>
        <w:tabs>
          <w:tab w:val="left" w:pos="6300"/>
        </w:tabs>
        <w:snapToGrid w:val="0"/>
        <w:spacing w:line="500" w:lineRule="exact"/>
        <w:ind w:firstLine="480" w:firstLineChars="200"/>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招标项目名称：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043B91E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u w:val="singl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重庆医科大学附属康复医院</w:t>
      </w:r>
    </w:p>
    <w:p w14:paraId="35A85D4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名称）郑重声明，我公司具有良好的商业信誉</w:t>
      </w:r>
      <w:r>
        <w:rPr>
          <w:rFonts w:hint="eastAsia" w:ascii="方正仿宋_GBK" w:hAnsi="方正仿宋_GBK" w:eastAsia="方正仿宋_GBK" w:cs="方正仿宋_GBK"/>
          <w:color w:val="auto"/>
          <w:sz w:val="24"/>
          <w:szCs w:val="24"/>
          <w:highlight w:val="none"/>
        </w:rPr>
        <w:t>和健全的财务会计制度</w:t>
      </w:r>
      <w:r>
        <w:rPr>
          <w:rFonts w:hint="eastAsia" w:ascii="方正仿宋_GBK" w:hAnsi="方正仿宋_GBK" w:eastAsia="方正仿宋_GBK" w:cs="方正仿宋_GBK"/>
          <w:color w:val="000000" w:themeColor="text1"/>
          <w:sz w:val="24"/>
          <w:szCs w:val="24"/>
          <w14:textFill>
            <w14:solidFill>
              <w14:schemeClr w14:val="tx1"/>
            </w14:solidFill>
          </w14:textFill>
        </w:rPr>
        <w:t>，具有履行合同所必需的设备和专业技术能力，</w:t>
      </w:r>
      <w:r>
        <w:rPr>
          <w:rFonts w:hint="eastAsia" w:ascii="方正仿宋_GBK" w:hAnsi="方正仿宋_GBK" w:eastAsia="方正仿宋_GBK" w:cs="方正仿宋_GBK"/>
          <w:color w:val="auto"/>
          <w:sz w:val="24"/>
          <w:szCs w:val="24"/>
          <w:highlight w:val="none"/>
        </w:rPr>
        <w:t>具</w:t>
      </w:r>
      <w:r>
        <w:rPr>
          <w:rFonts w:hint="eastAsia" w:ascii="方正仿宋_GBK" w:hAnsi="方正仿宋_GBK" w:eastAsia="方正仿宋_GBK" w:cs="方正仿宋_GBK"/>
          <w:color w:val="auto"/>
          <w:sz w:val="24"/>
          <w:szCs w:val="24"/>
          <w:highlight w:val="none"/>
          <w:lang w:val="zh-CN"/>
        </w:rPr>
        <w:t>有依法缴纳税收和社会保障金的良好记录，</w:t>
      </w:r>
      <w:r>
        <w:rPr>
          <w:rFonts w:hint="eastAsia" w:ascii="方正仿宋_GBK" w:hAnsi="方正仿宋_GBK" w:eastAsia="方正仿宋_GBK" w:cs="方正仿宋_GBK"/>
          <w:color w:val="000000" w:themeColor="text1"/>
          <w:sz w:val="24"/>
          <w:szCs w:val="24"/>
          <w14:textFill>
            <w14:solidFill>
              <w14:schemeClr w14:val="tx1"/>
            </w14:solidFill>
          </w14:textFill>
        </w:rPr>
        <w:t>参加本项目采购活动前三年内无重大违法活动记录，在合同签订前后随时愿意提供相关证明材料；我公司还同时声明未列入在信用中国网站（www.creditchina.gov.cn）“失信被执行人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重大税收违法案件当事人名单”中，也未列入中国政府采购网（www.ccgp.gov.cn）“政府采购严重违法失信行为记录名单”中，并随时接受采购人、采购代理机构的检查验证，</w:t>
      </w:r>
      <w:r>
        <w:rPr>
          <w:rFonts w:hint="eastAsia" w:ascii="方正仿宋_GBK" w:hAnsi="方正仿宋_GBK" w:eastAsia="方正仿宋_GBK" w:cs="方正仿宋_GBK"/>
          <w:color w:val="auto"/>
          <w:sz w:val="24"/>
          <w:szCs w:val="24"/>
          <w:highlight w:val="none"/>
          <w:lang w:val="zh-CN"/>
        </w:rPr>
        <w:t>配合提供相关证明材料，</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证明</w:t>
      </w:r>
      <w:r>
        <w:rPr>
          <w:rFonts w:hint="eastAsia" w:ascii="方正仿宋_GBK" w:hAnsi="方正仿宋_GBK" w:eastAsia="方正仿宋_GBK" w:cs="方正仿宋_GBK"/>
          <w:color w:val="000000" w:themeColor="text1"/>
          <w:sz w:val="24"/>
          <w:szCs w:val="24"/>
          <w14:textFill>
            <w14:solidFill>
              <w14:schemeClr w14:val="tx1"/>
            </w14:solidFill>
          </w14:textFill>
        </w:rPr>
        <w:t>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w:t>
      </w:r>
      <w:r>
        <w:rPr>
          <w:rFonts w:hint="eastAsia" w:ascii="方正仿宋_GBK" w:hAnsi="方正仿宋_GBK" w:eastAsia="方正仿宋_GBK" w:cs="方正仿宋_GBK"/>
          <w:color w:val="000000" w:themeColor="text1"/>
          <w:sz w:val="24"/>
          <w:szCs w:val="24"/>
          <w14:textFill>
            <w14:solidFill>
              <w14:schemeClr w14:val="tx1"/>
            </w14:solidFill>
          </w14:textFill>
        </w:rPr>
        <w:t>》规定的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auto"/>
          <w:sz w:val="24"/>
          <w:szCs w:val="24"/>
          <w:highlight w:val="none"/>
          <w:lang w:val="zh-CN"/>
        </w:rPr>
        <w:t>基本</w:t>
      </w:r>
      <w:r>
        <w:rPr>
          <w:rFonts w:hint="eastAsia" w:ascii="方正仿宋_GBK" w:hAnsi="方正仿宋_GBK" w:eastAsia="方正仿宋_GBK" w:cs="方正仿宋_GBK"/>
          <w:color w:val="000000" w:themeColor="text1"/>
          <w:sz w:val="24"/>
          <w:szCs w:val="24"/>
          <w14:textFill>
            <w14:solidFill>
              <w14:schemeClr w14:val="tx1"/>
            </w14:solidFill>
          </w14:textFill>
        </w:rPr>
        <w:t>资格条件。我方对以上</w:t>
      </w:r>
      <w:r>
        <w:rPr>
          <w:rFonts w:hint="eastAsia" w:ascii="方正仿宋_GBK" w:hAnsi="方正仿宋_GBK" w:eastAsia="方正仿宋_GBK" w:cs="方正仿宋_GBK"/>
          <w:color w:val="auto"/>
          <w:sz w:val="24"/>
          <w:szCs w:val="24"/>
          <w:highlight w:val="none"/>
          <w:lang w:val="zh-CN"/>
        </w:rPr>
        <w:t>承诺</w:t>
      </w:r>
      <w:r>
        <w:rPr>
          <w:rFonts w:hint="eastAsia" w:ascii="方正仿宋_GBK" w:hAnsi="方正仿宋_GBK" w:eastAsia="方正仿宋_GBK" w:cs="方正仿宋_GBK"/>
          <w:color w:val="000000" w:themeColor="text1"/>
          <w:sz w:val="24"/>
          <w:szCs w:val="24"/>
          <w14:textFill>
            <w14:solidFill>
              <w14:schemeClr w14:val="tx1"/>
            </w14:solidFill>
          </w14:textFill>
        </w:rPr>
        <w:t>负全部法律责任。</w:t>
      </w:r>
    </w:p>
    <w:p w14:paraId="773193B0">
      <w:pPr>
        <w:tabs>
          <w:tab w:val="left" w:pos="6300"/>
        </w:tabs>
        <w:snapToGrid w:val="0"/>
        <w:spacing w:line="500" w:lineRule="exact"/>
        <w:ind w:firstLine="480" w:firstLineChars="200"/>
        <w:rPr>
          <w:rFonts w:hint="eastAsia" w:ascii="方正仿宋_GBK" w:hAnsi="方正仿宋_GBK" w:eastAsia="方正仿宋_GBK" w:cs="方正仿宋_GBK"/>
          <w:color w:val="auto"/>
          <w:sz w:val="24"/>
          <w:szCs w:val="24"/>
          <w:highlight w:val="none"/>
          <w:lang w:val="zh-CN"/>
        </w:rPr>
      </w:pPr>
      <w:r>
        <w:rPr>
          <w:rFonts w:hint="eastAsia" w:ascii="方正仿宋_GBK" w:hAnsi="方正仿宋_GBK" w:eastAsia="方正仿宋_GBK" w:cs="方正仿宋_GBK"/>
          <w:color w:val="auto"/>
          <w:sz w:val="24"/>
          <w:szCs w:val="24"/>
          <w:highlight w:val="none"/>
          <w:lang w:val="zh-CN"/>
        </w:rPr>
        <w:t>特此承诺</w:t>
      </w:r>
    </w:p>
    <w:p w14:paraId="45BBE266">
      <w:pPr>
        <w:tabs>
          <w:tab w:val="left" w:pos="6300"/>
        </w:tabs>
        <w:wordWrap/>
        <w:snapToGrid w:val="0"/>
        <w:spacing w:line="500" w:lineRule="exact"/>
        <w:ind w:right="424"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公章）       </w:t>
      </w:r>
    </w:p>
    <w:p w14:paraId="58EFCE27">
      <w:pPr>
        <w:ind w:firstLine="640"/>
        <w:jc w:val="right"/>
        <w:rPr>
          <w:rFonts w:ascii="华文仿宋" w:hAnsi="华文仿宋" w:eastAsia="华文仿宋" w:cs="华文仿宋"/>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年   月   日   </w:t>
      </w:r>
    </w:p>
    <w:p w14:paraId="477D1858">
      <w:pPr>
        <w:pStyle w:val="10"/>
        <w:rPr>
          <w:color w:val="000000" w:themeColor="text1"/>
          <w14:textFill>
            <w14:solidFill>
              <w14:schemeClr w14:val="tx1"/>
            </w14:solidFill>
          </w14:textFill>
        </w:rPr>
      </w:pPr>
    </w:p>
    <w:p w14:paraId="0C55B734">
      <w:pPr>
        <w:pStyle w:val="3"/>
        <w:spacing w:line="480" w:lineRule="auto"/>
        <w:ind w:firstLine="0" w:firstLineChars="0"/>
        <w:jc w:val="left"/>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p>
    <w:p w14:paraId="713A439E">
      <w:pPr>
        <w:pStyle w:val="5"/>
        <w:numPr>
          <w:ilvl w:val="0"/>
          <w:numId w:val="0"/>
        </w:numP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9D220BD">
      <w:pPr>
        <w:pStyle w:val="5"/>
        <w:numPr>
          <w:ilvl w:val="0"/>
          <w:numId w:val="0"/>
        </w:numPr>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201" w:name="OLE_LINK9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（六）</w:t>
      </w:r>
      <w:bookmarkEnd w:id="201"/>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p>
    <w:p w14:paraId="02A3A373">
      <w:pPr>
        <w:ind w:firstLine="562"/>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严格按</w:t>
      </w: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附件一</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格式填写打印</w:t>
      </w:r>
    </w:p>
    <w:p w14:paraId="14177B11">
      <w:pPr>
        <w:ind w:firstLine="562"/>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14:textFill>
            <w14:solidFill>
              <w14:schemeClr w14:val="tx1"/>
            </w14:solidFill>
          </w14:textFill>
        </w:rPr>
        <w:t>特别说明：</w:t>
      </w:r>
    </w:p>
    <w:p w14:paraId="4197EE92">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1.报名文件中的每条耗材的所有原始内容均不得修改、删除。提交报名文件后，医院将对报名文件原始内容进行比对，对原始内容有任何修改和删除的，将不予审查通过，由此造成的一切后果由投标人自行承担。</w:t>
      </w:r>
    </w:p>
    <w:p w14:paraId="5D6D1160">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none"/>
          <w:lang w:eastAsia="zh-CN"/>
          <w14:textFill>
            <w14:solidFill>
              <w14:schemeClr w14:val="tx1"/>
            </w14:solidFill>
          </w14:textFill>
        </w:rPr>
        <w:t>严格按照医院耗材规格型号响应填写，非本次项目耗材规格型号不能自行添加，否则视为无效响应</w:t>
      </w:r>
      <w:r>
        <w:rPr>
          <w:rFonts w:hint="eastAsia" w:ascii="方正仿宋_GBK" w:hAnsi="方正仿宋_GBK" w:eastAsia="方正仿宋_GBK" w:cs="方正仿宋_GBK"/>
          <w:b w:val="0"/>
          <w:bCs w:val="0"/>
          <w:color w:val="000000" w:themeColor="text1"/>
          <w:sz w:val="24"/>
          <w:szCs w:val="24"/>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D1EDE1B">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3.不得增加列</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2D982D3F">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4.报名文件中的耗材顺序必须与后续报价文件严格一致。</w:t>
      </w:r>
    </w:p>
    <w:p w14:paraId="3DB5F0E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5.原则上投标产品需在重庆药交所挂网交易，若投标产品暂未在药交所挂网，则需承诺1个月内完成挂网。</w:t>
      </w:r>
    </w:p>
    <w:p w14:paraId="1D545BA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7.产品的注册名称和规格型号必须和医疗器械注册证完全相符。</w:t>
      </w:r>
    </w:p>
    <w:p w14:paraId="4403550C">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8.若所投产品不属于医疗器械，则在“产品注册证号、注册证效期”两列中填写“不属于医疗器械管理”9个字，“注册名称”一列则填写其产品名称，并提交界定文件。</w:t>
      </w:r>
    </w:p>
    <w:p w14:paraId="5EDDFE88">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9.各潜在供应商请务必严格执行上述要求。</w:t>
      </w:r>
    </w:p>
    <w:p w14:paraId="2B5C4FB9">
      <w:pPr>
        <w:tabs>
          <w:tab w:val="left" w:pos="312"/>
        </w:tabs>
        <w:ind w:firstLine="0" w:firstLineChars="0"/>
        <w:rPr>
          <w:rFonts w:hint="eastAsia" w:ascii="方正仿宋_GBK" w:hAnsi="方正仿宋_GBK" w:eastAsia="方正仿宋_GBK" w:cs="方正仿宋_GBK"/>
          <w:strike/>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10.若投标产品在我院已有购销合同，在“原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价”一列填写原合同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单价</w:t>
      </w:r>
      <w:r>
        <w:rPr>
          <w:rFonts w:hint="eastAsia" w:ascii="方正仿宋_GBK" w:hAnsi="方正仿宋_GBK" w:eastAsia="方正仿宋_GBK" w:cs="方正仿宋_GBK"/>
          <w:color w:val="000000" w:themeColor="text1"/>
          <w:sz w:val="24"/>
          <w:szCs w:val="24"/>
          <w14:textFill>
            <w14:solidFill>
              <w14:schemeClr w14:val="tx1"/>
            </w14:solidFill>
          </w14:textFill>
        </w:rPr>
        <w:t>（以数字格式填写，该价格指在我院实际执行价格，若在原合同执行期间有降价，则需填写降价后的价格）。无合同的无需填写“原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w:t>
      </w:r>
    </w:p>
    <w:p w14:paraId="6B4E3B5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11.凡不按照上述要求提交报名文件的，由此导致报名审查错误、不通过的，一切后果均由投标人自行承担。</w:t>
      </w:r>
    </w:p>
    <w:p w14:paraId="42DA6185">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1BE56959">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0F43020">
      <w:pPr>
        <w:pStyle w:val="11"/>
        <w:numPr>
          <w:ilvl w:val="0"/>
          <w:numId w:val="0"/>
        </w:numPr>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4672E8F1">
      <w:pPr>
        <w:pStyle w:val="11"/>
        <w:numPr>
          <w:ilvl w:val="0"/>
          <w:numId w:val="0"/>
        </w:numPr>
        <w:jc w:val="left"/>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t>项目响应偏离表</w:t>
      </w:r>
    </w:p>
    <w:p w14:paraId="5F1BF1F5">
      <w:pPr>
        <w:pStyle w:val="11"/>
        <w:numPr>
          <w:ilvl w:val="0"/>
          <w:numId w:val="0"/>
        </w:numPr>
        <w:ind w:firstLine="482" w:firstLineChars="200"/>
        <w:jc w:val="both"/>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pPr>
      <w:bookmarkStart w:id="202" w:name="OLE_LINK87"/>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bookmarkEnd w:id="202"/>
      <w:r>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t>部分：</w:t>
      </w:r>
    </w:p>
    <w:p w14:paraId="549ACDC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应答（格式自定）</w:t>
      </w:r>
    </w:p>
    <w:p w14:paraId="794FECC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2B93B37C">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0F9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641971A8">
            <w:pPr>
              <w:tabs>
                <w:tab w:val="left" w:pos="6300"/>
              </w:tabs>
              <w:snapToGrid w:val="0"/>
              <w:spacing w:line="500" w:lineRule="exact"/>
              <w:ind w:firstLine="0" w:firstLineChars="0"/>
              <w:jc w:val="both"/>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2658" w:type="dxa"/>
            <w:noWrap w:val="0"/>
            <w:vAlign w:val="center"/>
          </w:tcPr>
          <w:p w14:paraId="6B8DCF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采购需求</w:t>
            </w:r>
          </w:p>
        </w:tc>
        <w:tc>
          <w:tcPr>
            <w:tcW w:w="2759" w:type="dxa"/>
            <w:noWrap w:val="0"/>
            <w:vAlign w:val="center"/>
          </w:tcPr>
          <w:p w14:paraId="1197B1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067" w:type="dxa"/>
            <w:noWrap w:val="0"/>
            <w:vAlign w:val="center"/>
          </w:tcPr>
          <w:p w14:paraId="0CEF04ED">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差异说明</w:t>
            </w:r>
          </w:p>
        </w:tc>
      </w:tr>
      <w:tr w14:paraId="1B7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E8F73F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1EF478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69EBF76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AA673B6">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42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55CBE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D0CBDD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B0177C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58E3DE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968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8AFA9D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2F37FA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89A1E7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17E7465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5B5A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E2FE50">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7A0C77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55ABD1C4">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DF5AD2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D13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906D6C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07ECB0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22284B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B6E9B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4AF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BE05F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F1D560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2E8B078">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2453B8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88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1943AF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F73269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37F84E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224489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E82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483043">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A6849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42E85FE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78CF7B6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1C250D7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注：</w:t>
      </w:r>
    </w:p>
    <w:p w14:paraId="52AE4C5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1.本表即为对本项目“第二篇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技术</w:t>
      </w:r>
      <w:bookmarkStart w:id="203" w:name="OLE_LINK88"/>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bookmarkEnd w:id="203"/>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要求”中所列技术</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362FBE8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776D4BD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0C7B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w:t>
      </w:r>
    </w:p>
    <w:p w14:paraId="2E90CBE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5.若“响应情况”栏中填写“正偏离”，请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作实质性参数描述或提供支撑证明材料，若“响应情况”栏中填写“负偏离”，则视为无效投标。若有其他特殊情况，评审专家根据实际需求可做适当调整（技术偏离和商务偏离）。</w:t>
      </w:r>
    </w:p>
    <w:p w14:paraId="54DBC61F">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70AF46C8">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12DA4433">
      <w:pPr>
        <w:tabs>
          <w:tab w:val="left" w:pos="6300"/>
        </w:tabs>
        <w:snapToGrid w:val="0"/>
        <w:spacing w:line="500" w:lineRule="exact"/>
        <w:ind w:firstLine="480" w:firstLineChars="200"/>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p>
    <w:p w14:paraId="6A1A56ED">
      <w:pPr>
        <w:autoSpaceDE w:val="0"/>
        <w:autoSpaceDN w:val="0"/>
        <w:adjustRightInd w:val="0"/>
        <w:snapToGrid w:val="0"/>
        <w:spacing w:line="360" w:lineRule="auto"/>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t>商务要求部分：</w:t>
      </w:r>
    </w:p>
    <w:p w14:paraId="04854700">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要求响应情况：</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地点、</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服务人员</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等（格式自定）</w:t>
      </w:r>
    </w:p>
    <w:p w14:paraId="2C3493E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4924F551">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D7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10" w:type="dxa"/>
            <w:noWrap w:val="0"/>
            <w:vAlign w:val="center"/>
          </w:tcPr>
          <w:p w14:paraId="5AB9F1B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3179" w:type="dxa"/>
            <w:noWrap w:val="0"/>
            <w:vAlign w:val="center"/>
          </w:tcPr>
          <w:p w14:paraId="6F1AE147">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需求</w:t>
            </w:r>
          </w:p>
        </w:tc>
        <w:tc>
          <w:tcPr>
            <w:tcW w:w="2434" w:type="dxa"/>
            <w:noWrap w:val="0"/>
            <w:vAlign w:val="center"/>
          </w:tcPr>
          <w:p w14:paraId="75C0591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355" w:type="dxa"/>
            <w:noWrap w:val="0"/>
            <w:vAlign w:val="center"/>
          </w:tcPr>
          <w:p w14:paraId="45B0BFA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偏离说明</w:t>
            </w:r>
          </w:p>
        </w:tc>
      </w:tr>
      <w:tr w14:paraId="32D7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FD3A02A">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73E70C8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4927FCB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A230A10">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634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57657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231CEBC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553074D5">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762585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00E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DFAF68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4C067A5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89385A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287E7DD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635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905F6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A74464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EA267D9">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040C719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36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32B18E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24855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EBAFF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4DDEA7D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73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E5F573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1DD068D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DC77E9B">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6608937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0B9C1EC5">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t>注：</w:t>
      </w:r>
    </w:p>
    <w:p w14:paraId="7BD1038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1.本表即为对本项目“第</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0DF272D0">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18856B54">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F9C45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p>
    <w:p w14:paraId="092C9518">
      <w:pPr>
        <w:tabs>
          <w:tab w:val="left" w:pos="6300"/>
        </w:tabs>
        <w:snapToGrid w:val="0"/>
        <w:spacing w:line="500" w:lineRule="exact"/>
        <w:ind w:firstLine="480" w:firstLineChars="200"/>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t>5.若“响应情况”栏中填写“正偏离”，请作实质性参数描述或提供支撑证明材料，若“响应情况”栏中填写“负偏离”，则视为无效投标。若有其他特殊情况，评审专家根据实际需求可做适当调整（技术偏离和商务偏离）。</w:t>
      </w:r>
    </w:p>
    <w:p w14:paraId="1D4E69B7">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660804EA">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4A715953">
      <w:pPr>
        <w:tabs>
          <w:tab w:val="left" w:pos="6300"/>
        </w:tabs>
        <w:adjustRightInd/>
        <w:snapToGrid w:val="0"/>
        <w:spacing w:line="500" w:lineRule="exact"/>
        <w:ind w:left="0" w:leftChars="0" w:firstLine="480" w:firstLineChars="20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bookmarkStart w:id="204" w:name="OLE_LINK44"/>
    </w:p>
    <w:p w14:paraId="3670E1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782F1B0">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B0DDA8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E6B6EA1">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八</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204"/>
      <w:bookmarkStart w:id="205" w:name="OLE_LINK66"/>
      <w:r>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t>廉洁诚信购销协议</w:t>
      </w:r>
    </w:p>
    <w:bookmarkEnd w:id="205"/>
    <w:p w14:paraId="5654AF89">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p>
    <w:p w14:paraId="1E244E7D">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重庆医科大学附属康复医院 </w:t>
      </w:r>
    </w:p>
    <w:p w14:paraId="24EADD8A">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投标人：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                         </w:t>
      </w:r>
    </w:p>
    <w:p w14:paraId="05680F63">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为进一步加强医疗卫生行风建设，规范医疗卫生机构购销行为，有效防范商业贿赂行为，营造公平交易、诚实守信的购销环境，经双方协商，签订本协议，并共同遵守：</w:t>
      </w:r>
    </w:p>
    <w:p w14:paraId="3E4F484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一、双方按照《中华人民共和国民法典》及购销合同约定购销设备、耗材等产品。</w:t>
      </w:r>
    </w:p>
    <w:p w14:paraId="033DF9F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二、采购人严禁接受投标人以任何名义、形式给予的回扣，不得将接受捐赠资助与采购挂钩。采购人工作人员不得参加投标人安排并支付费用的娱乐活动，不得以任何形式向投标人索要现金、有价证券、支付凭证和贵重礼品等。被迫接受投标人给予的钱物，应予退还，无法退还的，应当如实向有关纪检监察部门反映情况。</w:t>
      </w:r>
    </w:p>
    <w:p w14:paraId="5A092B32">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三、严禁采购人工作人员利用任何途径和方式，向投标人透露医院有关信息，或为投标人提供任何便利。</w:t>
      </w:r>
    </w:p>
    <w:p w14:paraId="689FEA4E">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四、投标人要做到诚实守信、依法经营，保证产品质量，不得向采购人销售假、劣产品；提供虚假发票等违规行为，如发现违规行为，投标人应承担相应的法律责任，并赔偿采购人经济损失，造成的一切后果由投标人承担。同时对产品的使用部门做好售后服务。</w:t>
      </w:r>
    </w:p>
    <w:p w14:paraId="1930C49B">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五、招标过程中，投标人不得以任何形式，如促销费、宣传费、回扣、请客送礼、超标准接待等不正当或非法行为，暗示、腐蚀和贿赂采购人相关人员，以获取中标。</w:t>
      </w:r>
    </w:p>
    <w:p w14:paraId="7E3DB9F0">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六、投标人不得在采购人办公区域门诊或病区私下向医务人员进行任何形式的促销活动，不得将产品直接委托临床医生进行销售，也不得以任何形式送给医务人员促销费、开单费、回扣等。</w:t>
      </w:r>
    </w:p>
    <w:p w14:paraId="521A231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七、采购人一旦发现投标人有违反该合约行为, 将其列入不良记录，并有权终止与投标人的业务往来。由此造成的一切后果由投标人承担。</w:t>
      </w:r>
    </w:p>
    <w:p w14:paraId="282B8DCF">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八、廉洁购销协议，作为购销合同的重要组成部分，与购销合同一并执行，具有同等的法律效力。</w:t>
      </w:r>
    </w:p>
    <w:p w14:paraId="1DB60C9A">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九、本协议一式</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肆</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份，采购人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叁</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份，投标人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壹</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份，盖章后生效。</w:t>
      </w:r>
    </w:p>
    <w:p w14:paraId="2AC2D6A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w:t>
      </w:r>
    </w:p>
    <w:p w14:paraId="71624B91">
      <w:pPr>
        <w:adjustRightInd w:val="0"/>
        <w:snapToGrid w:val="0"/>
        <w:spacing w:line="440" w:lineRule="exact"/>
        <w:ind w:firstLine="6000" w:firstLineChars="2500"/>
        <w:jc w:val="both"/>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投标人（盖章）：</w:t>
      </w:r>
    </w:p>
    <w:p w14:paraId="6F7BE2A6">
      <w:pPr>
        <w:adjustRightInd w:val="0"/>
        <w:snapToGrid w:val="0"/>
        <w:spacing w:line="440" w:lineRule="exact"/>
        <w:ind w:firstLine="480" w:firstLineChars="200"/>
        <w:jc w:val="both"/>
        <w:rPr>
          <w:rFonts w:hint="eastAsia"/>
          <w:color w:val="000000" w:themeColor="text1"/>
          <w14:textFill>
            <w14:solidFill>
              <w14:schemeClr w14:val="tx1"/>
            </w14:solidFill>
          </w14:textFill>
        </w:rPr>
        <w:sectPr>
          <w:footerReference r:id="rId7" w:type="default"/>
          <w:footerReference r:id="rId8" w:type="even"/>
          <w:pgSz w:w="11907" w:h="16840"/>
          <w:pgMar w:top="1134" w:right="1191" w:bottom="1134" w:left="1304" w:header="964" w:footer="992" w:gutter="0"/>
          <w:pgBorders>
            <w:top w:val="none" w:sz="0" w:space="0"/>
            <w:left w:val="none" w:sz="0" w:space="0"/>
            <w:bottom w:val="none" w:sz="0" w:space="0"/>
            <w:right w:val="none" w:sz="0" w:space="0"/>
          </w:pgBorders>
          <w:pgNumType w:fmt="numberInDash"/>
          <w:cols w:space="720" w:num="1"/>
          <w:docGrid w:linePitch="312" w:charSpace="0"/>
        </w:sect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2026年  月  日</w:t>
      </w:r>
    </w:p>
    <w:p w14:paraId="0382DA9C">
      <w:pPr>
        <w:ind w:left="0" w:leftChars="0" w:firstLine="0" w:firstLineChars="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比对国家医保码完全正确承诺书</w:t>
      </w:r>
    </w:p>
    <w:p w14:paraId="1FA366B3">
      <w:pPr>
        <w:ind w:left="0" w:leftChars="0"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重庆医科大学附属</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医院：</w:t>
      </w:r>
    </w:p>
    <w:p w14:paraId="120FF311">
      <w:pPr>
        <w:ind w:firstLine="720" w:firstLineChars="300"/>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我司</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参与贵院</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项目，项目编号</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所提供耗材的品牌，注册名称，注册证号，型号规格，医保码均真实、合法、有效。我司遵照重庆市医疗保障中心下发文件《重庆市医疗保障局办公室关于做好医用耗材数据库动态维护工作的通知》（渝医保办〔2022〕61号）和《重庆市医疗保障局办公室关于印发开展医保医用耗材库国家编码从20位标准向27位标准的实施方案的通知》（渝医保办〔2023〕63号）要求执行（如有更新，按照最新文件执行），并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后期</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贯标的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维护</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包括耗材医保码</w:t>
      </w:r>
      <w:r>
        <w:rPr>
          <w:rFonts w:hint="eastAsia" w:ascii="方正仿宋_GBK" w:hAnsi="方正仿宋_GBK" w:eastAsia="方正仿宋_GBK" w:cs="方正仿宋_GBK"/>
          <w:color w:val="000000" w:themeColor="text1"/>
          <w:sz w:val="24"/>
          <w:szCs w:val="24"/>
          <w14:textFill>
            <w14:solidFill>
              <w14:schemeClr w14:val="tx1"/>
            </w14:solidFill>
          </w14:textFill>
        </w:rPr>
        <w:t>、项目流水号、注册证号</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型号规格在全国医药集中采购示范平台注册，并通过重庆市医保局审核</w:t>
      </w:r>
      <w:r>
        <w:rPr>
          <w:rFonts w:hint="eastAsia" w:ascii="方正仿宋_GBK" w:hAnsi="方正仿宋_GBK" w:eastAsia="方正仿宋_GBK" w:cs="方正仿宋_GBK"/>
          <w:color w:val="000000" w:themeColor="text1"/>
          <w:sz w:val="24"/>
          <w:szCs w:val="24"/>
          <w14:textFill>
            <w14:solidFill>
              <w14:schemeClr w14:val="tx1"/>
            </w14:solidFill>
          </w14:textFill>
        </w:rPr>
        <w:t>。如因我司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比对、</w:t>
      </w:r>
      <w:r>
        <w:rPr>
          <w:rFonts w:hint="eastAsia" w:ascii="方正仿宋_GBK" w:hAnsi="方正仿宋_GBK" w:eastAsia="方正仿宋_GBK" w:cs="方正仿宋_GBK"/>
          <w:color w:val="000000" w:themeColor="text1"/>
          <w:sz w:val="24"/>
          <w:szCs w:val="24"/>
          <w14:textFill>
            <w14:solidFill>
              <w14:schemeClr w14:val="tx1"/>
            </w14:solidFill>
          </w14:textFill>
        </w:rPr>
        <w:t>录入错误或贵院录入我司未核查导致错误，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所</w:t>
      </w:r>
      <w:r>
        <w:rPr>
          <w:rFonts w:hint="eastAsia" w:ascii="方正仿宋_GBK" w:hAnsi="方正仿宋_GBK" w:eastAsia="方正仿宋_GBK" w:cs="方正仿宋_GBK"/>
          <w:color w:val="000000" w:themeColor="text1"/>
          <w:sz w:val="24"/>
          <w:szCs w:val="24"/>
          <w14:textFill>
            <w14:solidFill>
              <w14:schemeClr w14:val="tx1"/>
            </w14:solidFill>
          </w14:textFill>
        </w:rPr>
        <w:t>产生的一切不利后果由我司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全部</w:t>
      </w:r>
      <w:r>
        <w:rPr>
          <w:rFonts w:hint="eastAsia" w:ascii="方正仿宋_GBK" w:hAnsi="方正仿宋_GBK" w:eastAsia="方正仿宋_GBK" w:cs="方正仿宋_GBK"/>
          <w:color w:val="000000" w:themeColor="text1"/>
          <w:sz w:val="24"/>
          <w:szCs w:val="24"/>
          <w14:textFill>
            <w14:solidFill>
              <w14:schemeClr w14:val="tx1"/>
            </w14:solidFill>
          </w14:textFill>
        </w:rPr>
        <w:t>承担。</w:t>
      </w:r>
    </w:p>
    <w:p w14:paraId="49333826">
      <w:pPr>
        <w:ind w:firstLine="480" w:firstLineChars="200"/>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62C4B5A6">
      <w:pPr>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0A5D38AE">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（盖章）</w:t>
      </w:r>
    </w:p>
    <w:p w14:paraId="7CB337C4">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法人签字：</w:t>
      </w:r>
    </w:p>
    <w:p w14:paraId="7423441E">
      <w:pP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年</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月</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日</w:t>
      </w:r>
    </w:p>
    <w:p w14:paraId="0E2B30FD">
      <w:pPr>
        <w:ind w:left="0" w:leftChars="0" w:firstLine="0" w:firstLineChars="0"/>
        <w:jc w:val="left"/>
        <w:rPr>
          <w:rFonts w:hint="eastAsia"/>
          <w:color w:val="000000" w:themeColor="text1"/>
          <w:lang w:val="en-US" w:eastAsia="zh-CN"/>
          <w14:textFill>
            <w14:solidFill>
              <w14:schemeClr w14:val="tx1"/>
            </w14:solidFill>
          </w14:textFill>
        </w:rPr>
      </w:pPr>
    </w:p>
    <w:p w14:paraId="2D385DB7">
      <w:pPr>
        <w:ind w:left="0" w:leftChars="0" w:firstLine="0" w:firstLineChars="0"/>
        <w:jc w:val="both"/>
        <w:rPr>
          <w:rFonts w:hint="eastAsia"/>
          <w:color w:val="000000" w:themeColor="text1"/>
          <w:lang w:val="en-US" w:eastAsia="zh-CN"/>
          <w14:textFill>
            <w14:solidFill>
              <w14:schemeClr w14:val="tx1"/>
            </w14:solidFill>
          </w14:textFill>
        </w:rPr>
      </w:pPr>
    </w:p>
    <w:p w14:paraId="6EF50566">
      <w:pPr>
        <w:pStyle w:val="5"/>
        <w:rPr>
          <w:rFonts w:hint="eastAsia"/>
          <w:color w:val="000000" w:themeColor="text1"/>
          <w14:textFill>
            <w14:solidFill>
              <w14:schemeClr w14:val="tx1"/>
            </w14:solidFill>
          </w14:textFill>
        </w:rPr>
      </w:pPr>
    </w:p>
    <w:p w14:paraId="416EE233">
      <w:pPr>
        <w:pStyle w:val="5"/>
        <w:rPr>
          <w:rFonts w:hint="eastAsia"/>
          <w:color w:val="000000" w:themeColor="text1"/>
          <w:lang w:val="en-US" w:eastAsia="zh-CN"/>
          <w14:textFill>
            <w14:solidFill>
              <w14:schemeClr w14:val="tx1"/>
            </w14:solidFill>
          </w14:textFill>
        </w:rPr>
      </w:pPr>
    </w:p>
    <w:p w14:paraId="7AC98FCC">
      <w:pPr>
        <w:spacing w:line="400" w:lineRule="exact"/>
        <w:ind w:left="0" w:leftChars="0" w:firstLine="0" w:firstLineChars="0"/>
        <w:rPr>
          <w:rFonts w:hint="eastAsia" w:ascii="方正仿宋_GBK" w:hAnsi="方正仿宋_GBK" w:eastAsia="方正仿宋_GBK" w:cs="方正仿宋_GBK"/>
          <w:b/>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val="0"/>
          <w:color w:val="000000" w:themeColor="text1"/>
          <w:sz w:val="32"/>
          <w:szCs w:val="32"/>
          <w14:textFill>
            <w14:solidFill>
              <w14:schemeClr w14:val="tx1"/>
            </w14:solidFill>
          </w14:textFill>
        </w:rPr>
        <w:t>（</w:t>
      </w:r>
      <w:r>
        <w:rPr>
          <w:rFonts w:hint="eastAsia" w:ascii="方正仿宋_GBK" w:hAnsi="方正仿宋_GBK" w:eastAsia="方正仿宋_GBK" w:cs="方正仿宋_GBK"/>
          <w:b/>
          <w:bCs w:val="0"/>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val="0"/>
          <w:color w:val="000000" w:themeColor="text1"/>
          <w:sz w:val="32"/>
          <w:szCs w:val="32"/>
          <w14:textFill>
            <w14:solidFill>
              <w14:schemeClr w14:val="tx1"/>
            </w14:solidFill>
          </w14:textFill>
        </w:rPr>
        <w:t>）其他资料</w:t>
      </w:r>
    </w:p>
    <w:p w14:paraId="755417FC">
      <w:pPr>
        <w:spacing w:line="40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其他与项目有关的资料（自附）</w:t>
      </w:r>
    </w:p>
    <w:p w14:paraId="6F809DB1">
      <w:pPr>
        <w:pStyle w:val="5"/>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AF8BC897-2623-4500-A35F-325D16D0FBF8}"/>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52062BC6-9070-40C7-B490-F42602A0BC41}"/>
  </w:font>
  <w:font w:name="方正仿宋_GBK">
    <w:panose1 w:val="03000509000000000000"/>
    <w:charset w:val="86"/>
    <w:family w:val="script"/>
    <w:pitch w:val="default"/>
    <w:sig w:usb0="00000001" w:usb1="080E0000" w:usb2="00000000" w:usb3="00000000" w:csb0="00040000" w:csb1="00000000"/>
    <w:embedRegular r:id="rId3" w:fontKey="{AC9357C6-B777-4820-9E8D-66D6569970AA}"/>
  </w:font>
  <w:font w:name="微软雅黑">
    <w:panose1 w:val="020B0503020204020204"/>
    <w:charset w:val="86"/>
    <w:family w:val="swiss"/>
    <w:pitch w:val="default"/>
    <w:sig w:usb0="80000287" w:usb1="2ACF3C50" w:usb2="00000016" w:usb3="00000000" w:csb0="0004001F" w:csb1="00000000"/>
    <w:embedRegular r:id="rId4" w:fontKey="{1F9A207B-CB17-44E9-908C-67947C6B2FF2}"/>
  </w:font>
  <w:font w:name="华文仿宋">
    <w:panose1 w:val="02010600040101010101"/>
    <w:charset w:val="86"/>
    <w:family w:val="auto"/>
    <w:pitch w:val="default"/>
    <w:sig w:usb0="00000287" w:usb1="080F0000" w:usb2="00000000" w:usb3="00000000" w:csb0="0004009F" w:csb1="DFD70000"/>
    <w:embedRegular r:id="rId5" w:fontKey="{F300BE4C-E10A-474E-8696-9EC4463062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196F">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7FB34">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175C168B">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6430">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1B20">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4F78A277">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D2E0"/>
    <w:multiLevelType w:val="singleLevel"/>
    <w:tmpl w:val="FF7FD2E0"/>
    <w:lvl w:ilvl="0" w:tentative="0">
      <w:start w:val="1"/>
      <w:numFmt w:val="decimal"/>
      <w:lvlText w:val="%1"/>
      <w:lvlJc w:val="left"/>
      <w:pPr>
        <w:tabs>
          <w:tab w:val="left" w:pos="420"/>
        </w:tabs>
        <w:ind w:left="425" w:hanging="425"/>
      </w:pPr>
      <w:rPr>
        <w:rFonts w:hint="default"/>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Dc5MTgwYTcxOWRhMTgyYjcyMzJhOWU0OGM3NDcifQ=="/>
  </w:docVars>
  <w:rsids>
    <w:rsidRoot w:val="00000000"/>
    <w:rsid w:val="00072C34"/>
    <w:rsid w:val="003F23CE"/>
    <w:rsid w:val="00423C6D"/>
    <w:rsid w:val="00473031"/>
    <w:rsid w:val="004D6899"/>
    <w:rsid w:val="0058523E"/>
    <w:rsid w:val="007504F4"/>
    <w:rsid w:val="0078768E"/>
    <w:rsid w:val="009A75D4"/>
    <w:rsid w:val="00AF1302"/>
    <w:rsid w:val="00C34DAD"/>
    <w:rsid w:val="00CD1788"/>
    <w:rsid w:val="00DE5743"/>
    <w:rsid w:val="016D6AC7"/>
    <w:rsid w:val="01A00C4B"/>
    <w:rsid w:val="01B91D0C"/>
    <w:rsid w:val="01E0373D"/>
    <w:rsid w:val="01E44FDB"/>
    <w:rsid w:val="01EC3E90"/>
    <w:rsid w:val="022C0730"/>
    <w:rsid w:val="024B505A"/>
    <w:rsid w:val="025D08EA"/>
    <w:rsid w:val="0270686F"/>
    <w:rsid w:val="02832A46"/>
    <w:rsid w:val="02A97FD3"/>
    <w:rsid w:val="02B20C36"/>
    <w:rsid w:val="02B57485"/>
    <w:rsid w:val="030A6CC4"/>
    <w:rsid w:val="031C69F7"/>
    <w:rsid w:val="031F3DF1"/>
    <w:rsid w:val="03237D85"/>
    <w:rsid w:val="032A2EC2"/>
    <w:rsid w:val="03394EB3"/>
    <w:rsid w:val="033C49A3"/>
    <w:rsid w:val="03465822"/>
    <w:rsid w:val="034B7945"/>
    <w:rsid w:val="03522419"/>
    <w:rsid w:val="03555A65"/>
    <w:rsid w:val="0381685A"/>
    <w:rsid w:val="03BD1A8B"/>
    <w:rsid w:val="03C32184"/>
    <w:rsid w:val="03C70711"/>
    <w:rsid w:val="03CB70FD"/>
    <w:rsid w:val="03F92894"/>
    <w:rsid w:val="043438CC"/>
    <w:rsid w:val="044E498E"/>
    <w:rsid w:val="04762137"/>
    <w:rsid w:val="049251C3"/>
    <w:rsid w:val="04B073F7"/>
    <w:rsid w:val="04F03C97"/>
    <w:rsid w:val="051A0D14"/>
    <w:rsid w:val="051A6F66"/>
    <w:rsid w:val="051E25B2"/>
    <w:rsid w:val="053A4F12"/>
    <w:rsid w:val="055E50A5"/>
    <w:rsid w:val="05C3315A"/>
    <w:rsid w:val="060A0D89"/>
    <w:rsid w:val="061D286A"/>
    <w:rsid w:val="06253E14"/>
    <w:rsid w:val="066606B5"/>
    <w:rsid w:val="066F5090"/>
    <w:rsid w:val="06764670"/>
    <w:rsid w:val="0680104B"/>
    <w:rsid w:val="06BF7DC5"/>
    <w:rsid w:val="06C47189"/>
    <w:rsid w:val="06EE4206"/>
    <w:rsid w:val="070B125C"/>
    <w:rsid w:val="073D0CEA"/>
    <w:rsid w:val="07433537"/>
    <w:rsid w:val="07516F96"/>
    <w:rsid w:val="07524795"/>
    <w:rsid w:val="075C1AB8"/>
    <w:rsid w:val="076B3AA9"/>
    <w:rsid w:val="077C7A64"/>
    <w:rsid w:val="0781507A"/>
    <w:rsid w:val="07C84A57"/>
    <w:rsid w:val="07CA07CF"/>
    <w:rsid w:val="07E01DA1"/>
    <w:rsid w:val="07E31891"/>
    <w:rsid w:val="07EC4BEA"/>
    <w:rsid w:val="080C703A"/>
    <w:rsid w:val="081E4FBF"/>
    <w:rsid w:val="08397703"/>
    <w:rsid w:val="08471E20"/>
    <w:rsid w:val="08744CD2"/>
    <w:rsid w:val="089332B7"/>
    <w:rsid w:val="08A2174C"/>
    <w:rsid w:val="08A72BFD"/>
    <w:rsid w:val="08BC5089"/>
    <w:rsid w:val="08FD6983"/>
    <w:rsid w:val="091B5142"/>
    <w:rsid w:val="093C74AB"/>
    <w:rsid w:val="095C5D9F"/>
    <w:rsid w:val="09905A49"/>
    <w:rsid w:val="099472E7"/>
    <w:rsid w:val="09B90AFC"/>
    <w:rsid w:val="09D92F4C"/>
    <w:rsid w:val="09E53C41"/>
    <w:rsid w:val="09E57B43"/>
    <w:rsid w:val="09E638BB"/>
    <w:rsid w:val="09F77876"/>
    <w:rsid w:val="0A01246E"/>
    <w:rsid w:val="0A0F4BBF"/>
    <w:rsid w:val="0A157CFC"/>
    <w:rsid w:val="0A2F7010"/>
    <w:rsid w:val="0A56459C"/>
    <w:rsid w:val="0AA90B70"/>
    <w:rsid w:val="0ACF2D1B"/>
    <w:rsid w:val="0ADB0F46"/>
    <w:rsid w:val="0AFC15E8"/>
    <w:rsid w:val="0B226B74"/>
    <w:rsid w:val="0B4B7E79"/>
    <w:rsid w:val="0B505490"/>
    <w:rsid w:val="0B6251C3"/>
    <w:rsid w:val="0B6902FF"/>
    <w:rsid w:val="0B7D3DAB"/>
    <w:rsid w:val="0BA13F3D"/>
    <w:rsid w:val="0BEA7692"/>
    <w:rsid w:val="0C0B7609"/>
    <w:rsid w:val="0C0D15D3"/>
    <w:rsid w:val="0C0F0EA7"/>
    <w:rsid w:val="0C1C1816"/>
    <w:rsid w:val="0C3628D7"/>
    <w:rsid w:val="0C540FAF"/>
    <w:rsid w:val="0C625CD5"/>
    <w:rsid w:val="0C790A16"/>
    <w:rsid w:val="0C7E7DDA"/>
    <w:rsid w:val="0C811679"/>
    <w:rsid w:val="0C8C24F7"/>
    <w:rsid w:val="0C9910B8"/>
    <w:rsid w:val="0CA02447"/>
    <w:rsid w:val="0CA37841"/>
    <w:rsid w:val="0CC003F3"/>
    <w:rsid w:val="0CCD48BE"/>
    <w:rsid w:val="0CD143AE"/>
    <w:rsid w:val="0CD619C5"/>
    <w:rsid w:val="0CD8398F"/>
    <w:rsid w:val="0CE340E1"/>
    <w:rsid w:val="0CE642FD"/>
    <w:rsid w:val="0CEA5470"/>
    <w:rsid w:val="0D077DD0"/>
    <w:rsid w:val="0D2941EA"/>
    <w:rsid w:val="0D817B82"/>
    <w:rsid w:val="0D9C2C0E"/>
    <w:rsid w:val="0DB22432"/>
    <w:rsid w:val="0DCB52A1"/>
    <w:rsid w:val="0DDC74AE"/>
    <w:rsid w:val="0DE60DCF"/>
    <w:rsid w:val="0DFE11D3"/>
    <w:rsid w:val="0E455054"/>
    <w:rsid w:val="0E527771"/>
    <w:rsid w:val="0E6A4ABA"/>
    <w:rsid w:val="0EA25C48"/>
    <w:rsid w:val="0ECF2B6F"/>
    <w:rsid w:val="0EE24651"/>
    <w:rsid w:val="0EE7610B"/>
    <w:rsid w:val="0EF425D6"/>
    <w:rsid w:val="0F423341"/>
    <w:rsid w:val="0F4A0448"/>
    <w:rsid w:val="0F865924"/>
    <w:rsid w:val="0FB73D2F"/>
    <w:rsid w:val="0FD348E1"/>
    <w:rsid w:val="0FE32D76"/>
    <w:rsid w:val="10035422"/>
    <w:rsid w:val="10282537"/>
    <w:rsid w:val="104650B3"/>
    <w:rsid w:val="109A0F5B"/>
    <w:rsid w:val="10EC5C5A"/>
    <w:rsid w:val="10F62635"/>
    <w:rsid w:val="110A4333"/>
    <w:rsid w:val="111807FE"/>
    <w:rsid w:val="112D6B93"/>
    <w:rsid w:val="11531836"/>
    <w:rsid w:val="117F6ACF"/>
    <w:rsid w:val="11875983"/>
    <w:rsid w:val="11A16A45"/>
    <w:rsid w:val="11C92723"/>
    <w:rsid w:val="12011292"/>
    <w:rsid w:val="12107727"/>
    <w:rsid w:val="125A4E46"/>
    <w:rsid w:val="12BB58E4"/>
    <w:rsid w:val="12DA6590"/>
    <w:rsid w:val="13103E92"/>
    <w:rsid w:val="13217D87"/>
    <w:rsid w:val="13394A5B"/>
    <w:rsid w:val="13491142"/>
    <w:rsid w:val="134A0A16"/>
    <w:rsid w:val="1367781A"/>
    <w:rsid w:val="138403CC"/>
    <w:rsid w:val="138C54D3"/>
    <w:rsid w:val="13916645"/>
    <w:rsid w:val="13A148E7"/>
    <w:rsid w:val="13A520F1"/>
    <w:rsid w:val="13DF1AA7"/>
    <w:rsid w:val="13EC5F71"/>
    <w:rsid w:val="13F37300"/>
    <w:rsid w:val="14382F65"/>
    <w:rsid w:val="145853B5"/>
    <w:rsid w:val="145C4EA5"/>
    <w:rsid w:val="14713F74"/>
    <w:rsid w:val="14FE7D0A"/>
    <w:rsid w:val="152A6D51"/>
    <w:rsid w:val="1534372C"/>
    <w:rsid w:val="153C0833"/>
    <w:rsid w:val="15451DDD"/>
    <w:rsid w:val="15652DAA"/>
    <w:rsid w:val="157306F8"/>
    <w:rsid w:val="157D50D3"/>
    <w:rsid w:val="158F3058"/>
    <w:rsid w:val="15BB5BFB"/>
    <w:rsid w:val="16A86180"/>
    <w:rsid w:val="16C85D17"/>
    <w:rsid w:val="170D2487"/>
    <w:rsid w:val="172A3039"/>
    <w:rsid w:val="17397720"/>
    <w:rsid w:val="17410382"/>
    <w:rsid w:val="174D4F79"/>
    <w:rsid w:val="1767603B"/>
    <w:rsid w:val="17712A16"/>
    <w:rsid w:val="17946704"/>
    <w:rsid w:val="17A821AF"/>
    <w:rsid w:val="17C50FB3"/>
    <w:rsid w:val="17CC0594"/>
    <w:rsid w:val="17F02970"/>
    <w:rsid w:val="1804388A"/>
    <w:rsid w:val="18153CE9"/>
    <w:rsid w:val="18243F2C"/>
    <w:rsid w:val="18371EB1"/>
    <w:rsid w:val="183A72AB"/>
    <w:rsid w:val="18602A8A"/>
    <w:rsid w:val="1870214D"/>
    <w:rsid w:val="18752DBF"/>
    <w:rsid w:val="187C5B16"/>
    <w:rsid w:val="18846779"/>
    <w:rsid w:val="188744BB"/>
    <w:rsid w:val="189F1804"/>
    <w:rsid w:val="18B51028"/>
    <w:rsid w:val="18B54B84"/>
    <w:rsid w:val="18BC4164"/>
    <w:rsid w:val="18C13529"/>
    <w:rsid w:val="18CB43A7"/>
    <w:rsid w:val="18D25736"/>
    <w:rsid w:val="18EB4A4A"/>
    <w:rsid w:val="18F54716"/>
    <w:rsid w:val="19094ED0"/>
    <w:rsid w:val="190D49C0"/>
    <w:rsid w:val="192835A8"/>
    <w:rsid w:val="192F2B88"/>
    <w:rsid w:val="19516FA3"/>
    <w:rsid w:val="19A54BF8"/>
    <w:rsid w:val="19DE010A"/>
    <w:rsid w:val="19E82D37"/>
    <w:rsid w:val="1A18186E"/>
    <w:rsid w:val="1A1A261E"/>
    <w:rsid w:val="1A1B310D"/>
    <w:rsid w:val="1A21339A"/>
    <w:rsid w:val="1A5403CD"/>
    <w:rsid w:val="1A606D71"/>
    <w:rsid w:val="1A6320AD"/>
    <w:rsid w:val="1A815666"/>
    <w:rsid w:val="1A850730"/>
    <w:rsid w:val="1A8567D8"/>
    <w:rsid w:val="1AC11F06"/>
    <w:rsid w:val="1AC63078"/>
    <w:rsid w:val="1AC92B69"/>
    <w:rsid w:val="1ADC289C"/>
    <w:rsid w:val="1AE31E7C"/>
    <w:rsid w:val="1AE41750"/>
    <w:rsid w:val="1B1A33C4"/>
    <w:rsid w:val="1B5F527B"/>
    <w:rsid w:val="1B642891"/>
    <w:rsid w:val="1B754A9E"/>
    <w:rsid w:val="1B79465F"/>
    <w:rsid w:val="1B8A054A"/>
    <w:rsid w:val="1B8A22F8"/>
    <w:rsid w:val="1B8D1DE8"/>
    <w:rsid w:val="1BAA299A"/>
    <w:rsid w:val="1BC670A8"/>
    <w:rsid w:val="1BCB22A8"/>
    <w:rsid w:val="1BEA723A"/>
    <w:rsid w:val="1BF754B3"/>
    <w:rsid w:val="1C0757AF"/>
    <w:rsid w:val="1C13053F"/>
    <w:rsid w:val="1C19367C"/>
    <w:rsid w:val="1C4E77C9"/>
    <w:rsid w:val="1C580648"/>
    <w:rsid w:val="1C8036FB"/>
    <w:rsid w:val="1CA94A00"/>
    <w:rsid w:val="1CD31A7D"/>
    <w:rsid w:val="1CD35F20"/>
    <w:rsid w:val="1CD37CCF"/>
    <w:rsid w:val="1CD6156D"/>
    <w:rsid w:val="1D144C6E"/>
    <w:rsid w:val="1D2115EA"/>
    <w:rsid w:val="1D24052A"/>
    <w:rsid w:val="1D28001A"/>
    <w:rsid w:val="1D445027"/>
    <w:rsid w:val="1D525097"/>
    <w:rsid w:val="1D547061"/>
    <w:rsid w:val="1D95042C"/>
    <w:rsid w:val="1DA67191"/>
    <w:rsid w:val="1DF3687A"/>
    <w:rsid w:val="1E0C16EA"/>
    <w:rsid w:val="1E360515"/>
    <w:rsid w:val="1E3D7AF5"/>
    <w:rsid w:val="1E4F15D7"/>
    <w:rsid w:val="1E7D45CD"/>
    <w:rsid w:val="1E8D7D2A"/>
    <w:rsid w:val="1E91399D"/>
    <w:rsid w:val="1EA71413"/>
    <w:rsid w:val="1EA90CE7"/>
    <w:rsid w:val="1EBA2EF4"/>
    <w:rsid w:val="1EC65D3D"/>
    <w:rsid w:val="1F0C74C8"/>
    <w:rsid w:val="1F2C36C6"/>
    <w:rsid w:val="1F38650F"/>
    <w:rsid w:val="1F5F584A"/>
    <w:rsid w:val="1F90634B"/>
    <w:rsid w:val="1FD53D5E"/>
    <w:rsid w:val="1FE10954"/>
    <w:rsid w:val="1FE50445"/>
    <w:rsid w:val="1FEA79F3"/>
    <w:rsid w:val="1FF05635"/>
    <w:rsid w:val="20300304"/>
    <w:rsid w:val="2031368A"/>
    <w:rsid w:val="20452C91"/>
    <w:rsid w:val="20631369"/>
    <w:rsid w:val="207318E2"/>
    <w:rsid w:val="20943C19"/>
    <w:rsid w:val="20A7394C"/>
    <w:rsid w:val="20A857F0"/>
    <w:rsid w:val="20AC0BEB"/>
    <w:rsid w:val="20C22534"/>
    <w:rsid w:val="20D364EF"/>
    <w:rsid w:val="20E701EC"/>
    <w:rsid w:val="20E97AC1"/>
    <w:rsid w:val="20FA3A7C"/>
    <w:rsid w:val="210448FA"/>
    <w:rsid w:val="2144119B"/>
    <w:rsid w:val="215C15CA"/>
    <w:rsid w:val="217F21D3"/>
    <w:rsid w:val="21935D34"/>
    <w:rsid w:val="21D02A2F"/>
    <w:rsid w:val="21D342CD"/>
    <w:rsid w:val="21FF50C2"/>
    <w:rsid w:val="22032E04"/>
    <w:rsid w:val="221768AF"/>
    <w:rsid w:val="22196184"/>
    <w:rsid w:val="221E7C3E"/>
    <w:rsid w:val="22821F7B"/>
    <w:rsid w:val="22A55C41"/>
    <w:rsid w:val="22AF6AE8"/>
    <w:rsid w:val="22B75EAE"/>
    <w:rsid w:val="22BB723B"/>
    <w:rsid w:val="22CC3602"/>
    <w:rsid w:val="22FA4207"/>
    <w:rsid w:val="2335523F"/>
    <w:rsid w:val="23360FB7"/>
    <w:rsid w:val="233B037C"/>
    <w:rsid w:val="23645B24"/>
    <w:rsid w:val="2378512C"/>
    <w:rsid w:val="237F64BA"/>
    <w:rsid w:val="2383244E"/>
    <w:rsid w:val="238E494F"/>
    <w:rsid w:val="23DF164F"/>
    <w:rsid w:val="23FF75FB"/>
    <w:rsid w:val="24003A9F"/>
    <w:rsid w:val="24174945"/>
    <w:rsid w:val="241A2687"/>
    <w:rsid w:val="24280900"/>
    <w:rsid w:val="24466FD8"/>
    <w:rsid w:val="245F009A"/>
    <w:rsid w:val="247B3126"/>
    <w:rsid w:val="24857B00"/>
    <w:rsid w:val="248F6BD1"/>
    <w:rsid w:val="24B44889"/>
    <w:rsid w:val="24BA3BE1"/>
    <w:rsid w:val="24D10F97"/>
    <w:rsid w:val="24EA3E07"/>
    <w:rsid w:val="2503311B"/>
    <w:rsid w:val="251C4037"/>
    <w:rsid w:val="25627E42"/>
    <w:rsid w:val="256C2A6E"/>
    <w:rsid w:val="257007B0"/>
    <w:rsid w:val="257638ED"/>
    <w:rsid w:val="2593624D"/>
    <w:rsid w:val="25B05051"/>
    <w:rsid w:val="25BE4598"/>
    <w:rsid w:val="25E371D4"/>
    <w:rsid w:val="25FA62CC"/>
    <w:rsid w:val="25FD7B6A"/>
    <w:rsid w:val="261F3F85"/>
    <w:rsid w:val="26215F4F"/>
    <w:rsid w:val="262D66A1"/>
    <w:rsid w:val="264D0AF2"/>
    <w:rsid w:val="26571970"/>
    <w:rsid w:val="265A6D6B"/>
    <w:rsid w:val="2661634B"/>
    <w:rsid w:val="266B71CA"/>
    <w:rsid w:val="26797B39"/>
    <w:rsid w:val="268D0EEE"/>
    <w:rsid w:val="26C863CA"/>
    <w:rsid w:val="27084A19"/>
    <w:rsid w:val="27280C17"/>
    <w:rsid w:val="274301E8"/>
    <w:rsid w:val="275B723E"/>
    <w:rsid w:val="276500BD"/>
    <w:rsid w:val="277536EB"/>
    <w:rsid w:val="278A3680"/>
    <w:rsid w:val="27934C2A"/>
    <w:rsid w:val="27C070A1"/>
    <w:rsid w:val="27C22E19"/>
    <w:rsid w:val="27C46B92"/>
    <w:rsid w:val="27FC457D"/>
    <w:rsid w:val="281B1FF5"/>
    <w:rsid w:val="28610884"/>
    <w:rsid w:val="286F11F3"/>
    <w:rsid w:val="28732366"/>
    <w:rsid w:val="287C092E"/>
    <w:rsid w:val="288B76AF"/>
    <w:rsid w:val="28B5297E"/>
    <w:rsid w:val="28F17E5A"/>
    <w:rsid w:val="29177195"/>
    <w:rsid w:val="291853E7"/>
    <w:rsid w:val="292A6EC8"/>
    <w:rsid w:val="29695C42"/>
    <w:rsid w:val="296A19BB"/>
    <w:rsid w:val="297168A5"/>
    <w:rsid w:val="298F31CF"/>
    <w:rsid w:val="2999069F"/>
    <w:rsid w:val="29C015DB"/>
    <w:rsid w:val="29C72969"/>
    <w:rsid w:val="29D357B2"/>
    <w:rsid w:val="29D37560"/>
    <w:rsid w:val="29E67293"/>
    <w:rsid w:val="29EA225C"/>
    <w:rsid w:val="29FD282F"/>
    <w:rsid w:val="2A3C6EB3"/>
    <w:rsid w:val="2A573CED"/>
    <w:rsid w:val="2A844BF3"/>
    <w:rsid w:val="2AA42CAA"/>
    <w:rsid w:val="2AAA4765"/>
    <w:rsid w:val="2ABE5B1A"/>
    <w:rsid w:val="2AC944BF"/>
    <w:rsid w:val="2ACF7D27"/>
    <w:rsid w:val="2AD510B6"/>
    <w:rsid w:val="2AEA5922"/>
    <w:rsid w:val="2AEB2519"/>
    <w:rsid w:val="2AED63FF"/>
    <w:rsid w:val="2AF61758"/>
    <w:rsid w:val="2B011EAB"/>
    <w:rsid w:val="2B0674C1"/>
    <w:rsid w:val="2B1C0A93"/>
    <w:rsid w:val="2B253DEB"/>
    <w:rsid w:val="2B6F5066"/>
    <w:rsid w:val="2B717030"/>
    <w:rsid w:val="2B797C93"/>
    <w:rsid w:val="2B9176D3"/>
    <w:rsid w:val="2B946C1B"/>
    <w:rsid w:val="2BB4516F"/>
    <w:rsid w:val="2BD355F5"/>
    <w:rsid w:val="2BF37A45"/>
    <w:rsid w:val="2BF612E4"/>
    <w:rsid w:val="2C1B0D4A"/>
    <w:rsid w:val="2C1D2D14"/>
    <w:rsid w:val="2C302A48"/>
    <w:rsid w:val="2C3A38C6"/>
    <w:rsid w:val="2C8E776E"/>
    <w:rsid w:val="2C934D84"/>
    <w:rsid w:val="2C9E3E55"/>
    <w:rsid w:val="2CB573F1"/>
    <w:rsid w:val="2CBC0949"/>
    <w:rsid w:val="2CBC42DB"/>
    <w:rsid w:val="2CCA2E9C"/>
    <w:rsid w:val="2CD77367"/>
    <w:rsid w:val="2CDE24A4"/>
    <w:rsid w:val="2CEF46B1"/>
    <w:rsid w:val="2D410C84"/>
    <w:rsid w:val="2D5E5392"/>
    <w:rsid w:val="2D636E4D"/>
    <w:rsid w:val="2DC86CB0"/>
    <w:rsid w:val="2DCA68EB"/>
    <w:rsid w:val="2DD65871"/>
    <w:rsid w:val="2DD9710F"/>
    <w:rsid w:val="2DDE7064"/>
    <w:rsid w:val="2DE27D71"/>
    <w:rsid w:val="2DFB0E33"/>
    <w:rsid w:val="2E110657"/>
    <w:rsid w:val="2E5A0250"/>
    <w:rsid w:val="2E6E5AA9"/>
    <w:rsid w:val="2E7A444E"/>
    <w:rsid w:val="2E864BA1"/>
    <w:rsid w:val="2E935510"/>
    <w:rsid w:val="2EA66FF1"/>
    <w:rsid w:val="2EB07E70"/>
    <w:rsid w:val="2EBA2A9C"/>
    <w:rsid w:val="2EBA6F40"/>
    <w:rsid w:val="2EC27BA3"/>
    <w:rsid w:val="2EC57342"/>
    <w:rsid w:val="2F120B2A"/>
    <w:rsid w:val="2F1321AD"/>
    <w:rsid w:val="2F266384"/>
    <w:rsid w:val="2F4D56BE"/>
    <w:rsid w:val="2F594063"/>
    <w:rsid w:val="2F7E1D1C"/>
    <w:rsid w:val="2F8530AA"/>
    <w:rsid w:val="2FA03FC4"/>
    <w:rsid w:val="2FB4573E"/>
    <w:rsid w:val="2FB83480"/>
    <w:rsid w:val="2FC02334"/>
    <w:rsid w:val="2FC040E2"/>
    <w:rsid w:val="2FD7142C"/>
    <w:rsid w:val="2FE51D9B"/>
    <w:rsid w:val="2FE53B49"/>
    <w:rsid w:val="2FEF49C8"/>
    <w:rsid w:val="2FF63FA8"/>
    <w:rsid w:val="304E16EE"/>
    <w:rsid w:val="305667F5"/>
    <w:rsid w:val="309D2676"/>
    <w:rsid w:val="30A47560"/>
    <w:rsid w:val="30D616E4"/>
    <w:rsid w:val="312A215B"/>
    <w:rsid w:val="314F27E5"/>
    <w:rsid w:val="31A43590"/>
    <w:rsid w:val="31C003CA"/>
    <w:rsid w:val="31F664E1"/>
    <w:rsid w:val="32026C34"/>
    <w:rsid w:val="3203475A"/>
    <w:rsid w:val="322F570A"/>
    <w:rsid w:val="32317519"/>
    <w:rsid w:val="323963CE"/>
    <w:rsid w:val="32470AEB"/>
    <w:rsid w:val="326A2A2B"/>
    <w:rsid w:val="327A0EC0"/>
    <w:rsid w:val="327B0795"/>
    <w:rsid w:val="32807B59"/>
    <w:rsid w:val="32AE46C6"/>
    <w:rsid w:val="32B617CD"/>
    <w:rsid w:val="32C71C2C"/>
    <w:rsid w:val="32D0288E"/>
    <w:rsid w:val="32D14858"/>
    <w:rsid w:val="32DD4AEB"/>
    <w:rsid w:val="32FC7B27"/>
    <w:rsid w:val="33233306"/>
    <w:rsid w:val="332B5D17"/>
    <w:rsid w:val="332E5807"/>
    <w:rsid w:val="33437504"/>
    <w:rsid w:val="33811DDB"/>
    <w:rsid w:val="33A87367"/>
    <w:rsid w:val="33A93870"/>
    <w:rsid w:val="33AC70D6"/>
    <w:rsid w:val="33F151B2"/>
    <w:rsid w:val="343B01DB"/>
    <w:rsid w:val="34563267"/>
    <w:rsid w:val="346E05B1"/>
    <w:rsid w:val="34936269"/>
    <w:rsid w:val="34A7309F"/>
    <w:rsid w:val="34B34216"/>
    <w:rsid w:val="351078BA"/>
    <w:rsid w:val="35246EC1"/>
    <w:rsid w:val="353335A8"/>
    <w:rsid w:val="353D61D5"/>
    <w:rsid w:val="355A28E3"/>
    <w:rsid w:val="356E2833"/>
    <w:rsid w:val="35773495"/>
    <w:rsid w:val="35973B37"/>
    <w:rsid w:val="35AE2C2F"/>
    <w:rsid w:val="35C5561E"/>
    <w:rsid w:val="35DF215B"/>
    <w:rsid w:val="364C4922"/>
    <w:rsid w:val="366003CD"/>
    <w:rsid w:val="367479D5"/>
    <w:rsid w:val="368C4D1E"/>
    <w:rsid w:val="368F2A60"/>
    <w:rsid w:val="36910587"/>
    <w:rsid w:val="36A22794"/>
    <w:rsid w:val="36C070BE"/>
    <w:rsid w:val="36D16BD5"/>
    <w:rsid w:val="36E20DE2"/>
    <w:rsid w:val="36E52680"/>
    <w:rsid w:val="36FA437E"/>
    <w:rsid w:val="36FB1EA4"/>
    <w:rsid w:val="370179A1"/>
    <w:rsid w:val="37166CDE"/>
    <w:rsid w:val="374558A4"/>
    <w:rsid w:val="3757357E"/>
    <w:rsid w:val="377A54BF"/>
    <w:rsid w:val="377D0B0B"/>
    <w:rsid w:val="377D6D5D"/>
    <w:rsid w:val="378679C0"/>
    <w:rsid w:val="378818B3"/>
    <w:rsid w:val="37893954"/>
    <w:rsid w:val="37CE1367"/>
    <w:rsid w:val="37D03331"/>
    <w:rsid w:val="37DC3A83"/>
    <w:rsid w:val="38156F95"/>
    <w:rsid w:val="382673F4"/>
    <w:rsid w:val="383218F5"/>
    <w:rsid w:val="384653A1"/>
    <w:rsid w:val="388F6D48"/>
    <w:rsid w:val="389D1465"/>
    <w:rsid w:val="38AF2F46"/>
    <w:rsid w:val="38F60B75"/>
    <w:rsid w:val="39167469"/>
    <w:rsid w:val="39400042"/>
    <w:rsid w:val="394A2C6F"/>
    <w:rsid w:val="3950297B"/>
    <w:rsid w:val="395B30CE"/>
    <w:rsid w:val="39640948"/>
    <w:rsid w:val="397A4BEA"/>
    <w:rsid w:val="399565E0"/>
    <w:rsid w:val="39A46823"/>
    <w:rsid w:val="39B8407C"/>
    <w:rsid w:val="39CB0253"/>
    <w:rsid w:val="39D4535A"/>
    <w:rsid w:val="39DA2245"/>
    <w:rsid w:val="39DC7D6B"/>
    <w:rsid w:val="3A211C22"/>
    <w:rsid w:val="3A865F28"/>
    <w:rsid w:val="3A887EF3"/>
    <w:rsid w:val="3A8A3C6B"/>
    <w:rsid w:val="3AF92B9E"/>
    <w:rsid w:val="3AFB781A"/>
    <w:rsid w:val="3B070E17"/>
    <w:rsid w:val="3B1672AC"/>
    <w:rsid w:val="3B4200A1"/>
    <w:rsid w:val="3B455DE4"/>
    <w:rsid w:val="3B581673"/>
    <w:rsid w:val="3B5A188F"/>
    <w:rsid w:val="3B697D24"/>
    <w:rsid w:val="3B6E70E8"/>
    <w:rsid w:val="3B7566C9"/>
    <w:rsid w:val="3B9A7EDD"/>
    <w:rsid w:val="3B9D79CE"/>
    <w:rsid w:val="3BDD426E"/>
    <w:rsid w:val="3BEE59F2"/>
    <w:rsid w:val="3BFA6BCE"/>
    <w:rsid w:val="3C000489"/>
    <w:rsid w:val="3C1A101E"/>
    <w:rsid w:val="3C885F88"/>
    <w:rsid w:val="3CAB7EC8"/>
    <w:rsid w:val="3CF17FD1"/>
    <w:rsid w:val="3D001FC2"/>
    <w:rsid w:val="3D2F0AF9"/>
    <w:rsid w:val="3DAA0180"/>
    <w:rsid w:val="3DC70D32"/>
    <w:rsid w:val="3DCE20C0"/>
    <w:rsid w:val="3DD376D7"/>
    <w:rsid w:val="3E343C9D"/>
    <w:rsid w:val="3E442382"/>
    <w:rsid w:val="3E444130"/>
    <w:rsid w:val="3E6F5651"/>
    <w:rsid w:val="3E774506"/>
    <w:rsid w:val="3E7762B4"/>
    <w:rsid w:val="3EDE6333"/>
    <w:rsid w:val="3F077B19"/>
    <w:rsid w:val="3F2A34D1"/>
    <w:rsid w:val="3F2A5A1C"/>
    <w:rsid w:val="3F4168C2"/>
    <w:rsid w:val="3F6A6C05"/>
    <w:rsid w:val="3F6F342F"/>
    <w:rsid w:val="3F984734"/>
    <w:rsid w:val="3FD6525C"/>
    <w:rsid w:val="400B13AA"/>
    <w:rsid w:val="401364B0"/>
    <w:rsid w:val="40273D0A"/>
    <w:rsid w:val="40632F94"/>
    <w:rsid w:val="40730CFD"/>
    <w:rsid w:val="40804FE5"/>
    <w:rsid w:val="408178BE"/>
    <w:rsid w:val="40905D53"/>
    <w:rsid w:val="40A830A0"/>
    <w:rsid w:val="40C15F0C"/>
    <w:rsid w:val="40DE261A"/>
    <w:rsid w:val="410F6C78"/>
    <w:rsid w:val="41166258"/>
    <w:rsid w:val="41714ABE"/>
    <w:rsid w:val="41850CE8"/>
    <w:rsid w:val="418F1B67"/>
    <w:rsid w:val="41A03D74"/>
    <w:rsid w:val="41B96BE3"/>
    <w:rsid w:val="41C61EF2"/>
    <w:rsid w:val="41DE664A"/>
    <w:rsid w:val="420460B1"/>
    <w:rsid w:val="421107CE"/>
    <w:rsid w:val="42186000"/>
    <w:rsid w:val="422C5607"/>
    <w:rsid w:val="422F6EA6"/>
    <w:rsid w:val="423F62ED"/>
    <w:rsid w:val="42624F84"/>
    <w:rsid w:val="426C3C56"/>
    <w:rsid w:val="429531AD"/>
    <w:rsid w:val="42957651"/>
    <w:rsid w:val="42A94F05"/>
    <w:rsid w:val="42AB0C22"/>
    <w:rsid w:val="42AE0712"/>
    <w:rsid w:val="42B6175D"/>
    <w:rsid w:val="42B84783"/>
    <w:rsid w:val="42BC2E2F"/>
    <w:rsid w:val="42C27D1A"/>
    <w:rsid w:val="42D33CD5"/>
    <w:rsid w:val="42D77C69"/>
    <w:rsid w:val="42E63A08"/>
    <w:rsid w:val="431A1904"/>
    <w:rsid w:val="43374264"/>
    <w:rsid w:val="43505326"/>
    <w:rsid w:val="435B43F6"/>
    <w:rsid w:val="436C03B1"/>
    <w:rsid w:val="43721740"/>
    <w:rsid w:val="437C436D"/>
    <w:rsid w:val="43803E5D"/>
    <w:rsid w:val="43882D11"/>
    <w:rsid w:val="439416B6"/>
    <w:rsid w:val="43C24475"/>
    <w:rsid w:val="43D47AB5"/>
    <w:rsid w:val="43D85A47"/>
    <w:rsid w:val="43E00C3E"/>
    <w:rsid w:val="443133A9"/>
    <w:rsid w:val="443469F5"/>
    <w:rsid w:val="443D58AA"/>
    <w:rsid w:val="444E7AB7"/>
    <w:rsid w:val="447A7DBC"/>
    <w:rsid w:val="44801C3A"/>
    <w:rsid w:val="44A771C7"/>
    <w:rsid w:val="44BC0EC5"/>
    <w:rsid w:val="44BE0BBB"/>
    <w:rsid w:val="453C3DB3"/>
    <w:rsid w:val="455F7AA2"/>
    <w:rsid w:val="45605CF4"/>
    <w:rsid w:val="457C0654"/>
    <w:rsid w:val="45815C6A"/>
    <w:rsid w:val="45B95404"/>
    <w:rsid w:val="45BE2A1A"/>
    <w:rsid w:val="45E76415"/>
    <w:rsid w:val="460D74FE"/>
    <w:rsid w:val="462036D5"/>
    <w:rsid w:val="46492C2C"/>
    <w:rsid w:val="464B69A4"/>
    <w:rsid w:val="468E4AE3"/>
    <w:rsid w:val="46C71DA3"/>
    <w:rsid w:val="46D30D4F"/>
    <w:rsid w:val="46D324F5"/>
    <w:rsid w:val="46E14C12"/>
    <w:rsid w:val="46E666CD"/>
    <w:rsid w:val="46F506BE"/>
    <w:rsid w:val="47217705"/>
    <w:rsid w:val="472D60AA"/>
    <w:rsid w:val="475573AE"/>
    <w:rsid w:val="4770243A"/>
    <w:rsid w:val="4780267D"/>
    <w:rsid w:val="478101A3"/>
    <w:rsid w:val="47841A42"/>
    <w:rsid w:val="47A83982"/>
    <w:rsid w:val="47BC567F"/>
    <w:rsid w:val="47BE6D02"/>
    <w:rsid w:val="47D429C9"/>
    <w:rsid w:val="47E30E5E"/>
    <w:rsid w:val="47F92430"/>
    <w:rsid w:val="47F92D32"/>
    <w:rsid w:val="480C3F11"/>
    <w:rsid w:val="480F3A01"/>
    <w:rsid w:val="483B65A4"/>
    <w:rsid w:val="483D231C"/>
    <w:rsid w:val="484E4529"/>
    <w:rsid w:val="4880045B"/>
    <w:rsid w:val="48B63E7D"/>
    <w:rsid w:val="49060960"/>
    <w:rsid w:val="494B26E8"/>
    <w:rsid w:val="499917D4"/>
    <w:rsid w:val="49A87C69"/>
    <w:rsid w:val="49E05655"/>
    <w:rsid w:val="49E8275C"/>
    <w:rsid w:val="49F96717"/>
    <w:rsid w:val="4A0F7CE8"/>
    <w:rsid w:val="4A330584"/>
    <w:rsid w:val="4A3459A1"/>
    <w:rsid w:val="4A3A2A9F"/>
    <w:rsid w:val="4A6158BA"/>
    <w:rsid w:val="4A657908"/>
    <w:rsid w:val="4A8F0E29"/>
    <w:rsid w:val="4A9C0A1D"/>
    <w:rsid w:val="4ACA3C0F"/>
    <w:rsid w:val="4ACB6250"/>
    <w:rsid w:val="4ACC5BD9"/>
    <w:rsid w:val="4ACE1952"/>
    <w:rsid w:val="4AD4683C"/>
    <w:rsid w:val="4ADB7BCB"/>
    <w:rsid w:val="4AE01685"/>
    <w:rsid w:val="4B1C090F"/>
    <w:rsid w:val="4B1D6435"/>
    <w:rsid w:val="4B335C59"/>
    <w:rsid w:val="4B3A2B43"/>
    <w:rsid w:val="4B571947"/>
    <w:rsid w:val="4B6302E0"/>
    <w:rsid w:val="4B7122DD"/>
    <w:rsid w:val="4B7A3887"/>
    <w:rsid w:val="4B865D88"/>
    <w:rsid w:val="4B9009B5"/>
    <w:rsid w:val="4BA91A77"/>
    <w:rsid w:val="4BB04331"/>
    <w:rsid w:val="4BD034A7"/>
    <w:rsid w:val="4BE62CCB"/>
    <w:rsid w:val="4BF453E8"/>
    <w:rsid w:val="4C286E40"/>
    <w:rsid w:val="4C4169A0"/>
    <w:rsid w:val="4CAA1F4A"/>
    <w:rsid w:val="4CB608EF"/>
    <w:rsid w:val="4CB93F3C"/>
    <w:rsid w:val="4CBE77A4"/>
    <w:rsid w:val="4D057181"/>
    <w:rsid w:val="4D07114B"/>
    <w:rsid w:val="4D0F7FFF"/>
    <w:rsid w:val="4D115B26"/>
    <w:rsid w:val="4D245859"/>
    <w:rsid w:val="4D2717ED"/>
    <w:rsid w:val="4D2A6BE7"/>
    <w:rsid w:val="4D3637DE"/>
    <w:rsid w:val="4D562FEC"/>
    <w:rsid w:val="4D6751FE"/>
    <w:rsid w:val="4D7A191D"/>
    <w:rsid w:val="4D842C6E"/>
    <w:rsid w:val="4D987FF5"/>
    <w:rsid w:val="4DA150FB"/>
    <w:rsid w:val="4DB03590"/>
    <w:rsid w:val="4DD23507"/>
    <w:rsid w:val="4E092CA1"/>
    <w:rsid w:val="4E4168DE"/>
    <w:rsid w:val="4E6C395B"/>
    <w:rsid w:val="4E80606C"/>
    <w:rsid w:val="4E9B7D9D"/>
    <w:rsid w:val="4EB1203F"/>
    <w:rsid w:val="4EB26E94"/>
    <w:rsid w:val="4EB66985"/>
    <w:rsid w:val="4EBE1CDD"/>
    <w:rsid w:val="4ED17C62"/>
    <w:rsid w:val="4EF218E1"/>
    <w:rsid w:val="4F005E52"/>
    <w:rsid w:val="4F053468"/>
    <w:rsid w:val="4F1B712F"/>
    <w:rsid w:val="4F473A81"/>
    <w:rsid w:val="4F4A3571"/>
    <w:rsid w:val="4F5E26CC"/>
    <w:rsid w:val="4F7F321A"/>
    <w:rsid w:val="4F806F93"/>
    <w:rsid w:val="4FC11A85"/>
    <w:rsid w:val="4FE90FDC"/>
    <w:rsid w:val="501D1DA6"/>
    <w:rsid w:val="502D2C76"/>
    <w:rsid w:val="50302767"/>
    <w:rsid w:val="50483F54"/>
    <w:rsid w:val="50485D02"/>
    <w:rsid w:val="5055041F"/>
    <w:rsid w:val="50B75092"/>
    <w:rsid w:val="50E0418D"/>
    <w:rsid w:val="50FB2D75"/>
    <w:rsid w:val="510C4F82"/>
    <w:rsid w:val="51295569"/>
    <w:rsid w:val="513D513B"/>
    <w:rsid w:val="5147420C"/>
    <w:rsid w:val="51624BA2"/>
    <w:rsid w:val="516E09DF"/>
    <w:rsid w:val="51956D25"/>
    <w:rsid w:val="51AA0A0E"/>
    <w:rsid w:val="51AB479B"/>
    <w:rsid w:val="51AE7DE7"/>
    <w:rsid w:val="51C07B1A"/>
    <w:rsid w:val="51D53F96"/>
    <w:rsid w:val="51DD247A"/>
    <w:rsid w:val="51E43809"/>
    <w:rsid w:val="520E6AD8"/>
    <w:rsid w:val="52120376"/>
    <w:rsid w:val="521A1920"/>
    <w:rsid w:val="521D6D1B"/>
    <w:rsid w:val="52701540"/>
    <w:rsid w:val="527A5F1B"/>
    <w:rsid w:val="527F1783"/>
    <w:rsid w:val="52952D55"/>
    <w:rsid w:val="52A35472"/>
    <w:rsid w:val="52B7716F"/>
    <w:rsid w:val="52E31D12"/>
    <w:rsid w:val="53195734"/>
    <w:rsid w:val="534E1882"/>
    <w:rsid w:val="535624E4"/>
    <w:rsid w:val="537D5CC3"/>
    <w:rsid w:val="539179C0"/>
    <w:rsid w:val="53990623"/>
    <w:rsid w:val="53AA2830"/>
    <w:rsid w:val="53D17DBD"/>
    <w:rsid w:val="53DD2C05"/>
    <w:rsid w:val="53E53868"/>
    <w:rsid w:val="53F71F19"/>
    <w:rsid w:val="54065CB8"/>
    <w:rsid w:val="54183C3E"/>
    <w:rsid w:val="542E16B3"/>
    <w:rsid w:val="54520EFE"/>
    <w:rsid w:val="54534C76"/>
    <w:rsid w:val="54617393"/>
    <w:rsid w:val="54696247"/>
    <w:rsid w:val="54857525"/>
    <w:rsid w:val="548B182B"/>
    <w:rsid w:val="54AA0D3A"/>
    <w:rsid w:val="54AE00FE"/>
    <w:rsid w:val="54BC281B"/>
    <w:rsid w:val="54D23DEC"/>
    <w:rsid w:val="54FF095A"/>
    <w:rsid w:val="55055F70"/>
    <w:rsid w:val="55061CE8"/>
    <w:rsid w:val="5536081F"/>
    <w:rsid w:val="553E76D4"/>
    <w:rsid w:val="55432F3C"/>
    <w:rsid w:val="554A7E27"/>
    <w:rsid w:val="55886BA1"/>
    <w:rsid w:val="55C45E2B"/>
    <w:rsid w:val="565D002E"/>
    <w:rsid w:val="56755377"/>
    <w:rsid w:val="568832FC"/>
    <w:rsid w:val="56982E14"/>
    <w:rsid w:val="56D7393C"/>
    <w:rsid w:val="570B7A8A"/>
    <w:rsid w:val="5730129E"/>
    <w:rsid w:val="57350EAD"/>
    <w:rsid w:val="57452F9B"/>
    <w:rsid w:val="575C02E5"/>
    <w:rsid w:val="57A31A70"/>
    <w:rsid w:val="57A8352A"/>
    <w:rsid w:val="57AA2DFF"/>
    <w:rsid w:val="57C33EC0"/>
    <w:rsid w:val="57F56770"/>
    <w:rsid w:val="5805272B"/>
    <w:rsid w:val="580C5867"/>
    <w:rsid w:val="58421289"/>
    <w:rsid w:val="5846521D"/>
    <w:rsid w:val="5853793A"/>
    <w:rsid w:val="5866141B"/>
    <w:rsid w:val="587D6765"/>
    <w:rsid w:val="58816255"/>
    <w:rsid w:val="58E30CBE"/>
    <w:rsid w:val="58F268EA"/>
    <w:rsid w:val="59084281"/>
    <w:rsid w:val="59154BEF"/>
    <w:rsid w:val="5923730C"/>
    <w:rsid w:val="59253085"/>
    <w:rsid w:val="5966544B"/>
    <w:rsid w:val="59725B9E"/>
    <w:rsid w:val="597E2795"/>
    <w:rsid w:val="59C057F9"/>
    <w:rsid w:val="59CD1026"/>
    <w:rsid w:val="59ED3476"/>
    <w:rsid w:val="59F20A8D"/>
    <w:rsid w:val="59F44805"/>
    <w:rsid w:val="5A054C64"/>
    <w:rsid w:val="5A0F163F"/>
    <w:rsid w:val="5A44578C"/>
    <w:rsid w:val="5A6574B1"/>
    <w:rsid w:val="5A9009D2"/>
    <w:rsid w:val="5AAB75B9"/>
    <w:rsid w:val="5AAE0E58"/>
    <w:rsid w:val="5AD05272"/>
    <w:rsid w:val="5AE900E2"/>
    <w:rsid w:val="5AFD593B"/>
    <w:rsid w:val="5B176D00"/>
    <w:rsid w:val="5B417F1E"/>
    <w:rsid w:val="5B557525"/>
    <w:rsid w:val="5B694D7F"/>
    <w:rsid w:val="5B7D11C2"/>
    <w:rsid w:val="5B9E54A5"/>
    <w:rsid w:val="5BB701E0"/>
    <w:rsid w:val="5BD26DC8"/>
    <w:rsid w:val="5BDE576D"/>
    <w:rsid w:val="5BE03293"/>
    <w:rsid w:val="5BEA5EBF"/>
    <w:rsid w:val="5C272C70"/>
    <w:rsid w:val="5C364A94"/>
    <w:rsid w:val="5C3F445D"/>
    <w:rsid w:val="5C5A1297"/>
    <w:rsid w:val="5C8E2CEF"/>
    <w:rsid w:val="5CB07109"/>
    <w:rsid w:val="5CB52971"/>
    <w:rsid w:val="5CE40B61"/>
    <w:rsid w:val="5D0447D5"/>
    <w:rsid w:val="5D2E44D2"/>
    <w:rsid w:val="5D325D70"/>
    <w:rsid w:val="5D347D3A"/>
    <w:rsid w:val="5D3F223B"/>
    <w:rsid w:val="5D4E06D0"/>
    <w:rsid w:val="5D5061F6"/>
    <w:rsid w:val="5D6972B8"/>
    <w:rsid w:val="5D8D2FA6"/>
    <w:rsid w:val="5DC10EA2"/>
    <w:rsid w:val="5DC866D4"/>
    <w:rsid w:val="5E070FAB"/>
    <w:rsid w:val="5E0B036F"/>
    <w:rsid w:val="5E197573"/>
    <w:rsid w:val="5E1B2CA8"/>
    <w:rsid w:val="5E1E2DF8"/>
    <w:rsid w:val="5E36363E"/>
    <w:rsid w:val="5E6A32E8"/>
    <w:rsid w:val="5E9345EC"/>
    <w:rsid w:val="5EB6652D"/>
    <w:rsid w:val="5EC944B2"/>
    <w:rsid w:val="5ED2780B"/>
    <w:rsid w:val="5EDF7832"/>
    <w:rsid w:val="5EF62DCD"/>
    <w:rsid w:val="5F3A0F0C"/>
    <w:rsid w:val="5F463D55"/>
    <w:rsid w:val="5F571ABE"/>
    <w:rsid w:val="5F675C28"/>
    <w:rsid w:val="5F6D12E1"/>
    <w:rsid w:val="5F7C32D2"/>
    <w:rsid w:val="5FB707AE"/>
    <w:rsid w:val="600530BF"/>
    <w:rsid w:val="601A43EF"/>
    <w:rsid w:val="602A2D2E"/>
    <w:rsid w:val="60343BAD"/>
    <w:rsid w:val="604007A4"/>
    <w:rsid w:val="607E307A"/>
    <w:rsid w:val="609B59DA"/>
    <w:rsid w:val="60A725D1"/>
    <w:rsid w:val="60CB6FF6"/>
    <w:rsid w:val="60F31CBA"/>
    <w:rsid w:val="60F90953"/>
    <w:rsid w:val="61073070"/>
    <w:rsid w:val="613C71BD"/>
    <w:rsid w:val="61532759"/>
    <w:rsid w:val="615434A5"/>
    <w:rsid w:val="6198016C"/>
    <w:rsid w:val="61B34FA6"/>
    <w:rsid w:val="61CF0031"/>
    <w:rsid w:val="62173786"/>
    <w:rsid w:val="621A6DD3"/>
    <w:rsid w:val="622F0AD0"/>
    <w:rsid w:val="624F4CCE"/>
    <w:rsid w:val="625B3673"/>
    <w:rsid w:val="62922E0D"/>
    <w:rsid w:val="62A0552A"/>
    <w:rsid w:val="62BF00A6"/>
    <w:rsid w:val="62C236F2"/>
    <w:rsid w:val="62EE098B"/>
    <w:rsid w:val="631321A0"/>
    <w:rsid w:val="63185A08"/>
    <w:rsid w:val="6333639E"/>
    <w:rsid w:val="63365E8E"/>
    <w:rsid w:val="6348144F"/>
    <w:rsid w:val="637013A0"/>
    <w:rsid w:val="63972DD1"/>
    <w:rsid w:val="63DC07E4"/>
    <w:rsid w:val="643979E4"/>
    <w:rsid w:val="64410F8F"/>
    <w:rsid w:val="64436AB5"/>
    <w:rsid w:val="646B1B68"/>
    <w:rsid w:val="64872E45"/>
    <w:rsid w:val="64925346"/>
    <w:rsid w:val="64A07A63"/>
    <w:rsid w:val="64AD03D2"/>
    <w:rsid w:val="64B74DAD"/>
    <w:rsid w:val="64BE438D"/>
    <w:rsid w:val="64C5571C"/>
    <w:rsid w:val="64E57B6C"/>
    <w:rsid w:val="64F41B5D"/>
    <w:rsid w:val="64F63B27"/>
    <w:rsid w:val="6502427A"/>
    <w:rsid w:val="65071890"/>
    <w:rsid w:val="65162368"/>
    <w:rsid w:val="657333CA"/>
    <w:rsid w:val="6598698C"/>
    <w:rsid w:val="65AC068A"/>
    <w:rsid w:val="65E9543A"/>
    <w:rsid w:val="65EC0A86"/>
    <w:rsid w:val="65F77B57"/>
    <w:rsid w:val="661E3335"/>
    <w:rsid w:val="662704FC"/>
    <w:rsid w:val="66304E17"/>
    <w:rsid w:val="663C37BC"/>
    <w:rsid w:val="6655487D"/>
    <w:rsid w:val="66602917"/>
    <w:rsid w:val="66925AD1"/>
    <w:rsid w:val="669453A6"/>
    <w:rsid w:val="669E7FD2"/>
    <w:rsid w:val="66AC6B93"/>
    <w:rsid w:val="66DB12B8"/>
    <w:rsid w:val="66F36853"/>
    <w:rsid w:val="6703077D"/>
    <w:rsid w:val="670A5668"/>
    <w:rsid w:val="673E5311"/>
    <w:rsid w:val="674F5770"/>
    <w:rsid w:val="67513297"/>
    <w:rsid w:val="676E209B"/>
    <w:rsid w:val="67852F40"/>
    <w:rsid w:val="678C2521"/>
    <w:rsid w:val="68030A35"/>
    <w:rsid w:val="68040309"/>
    <w:rsid w:val="681C5653"/>
    <w:rsid w:val="683706DE"/>
    <w:rsid w:val="68556DB7"/>
    <w:rsid w:val="68572B2F"/>
    <w:rsid w:val="685E5C6B"/>
    <w:rsid w:val="68817BAC"/>
    <w:rsid w:val="68EF0FB9"/>
    <w:rsid w:val="693E3CEF"/>
    <w:rsid w:val="694110E9"/>
    <w:rsid w:val="69476A6B"/>
    <w:rsid w:val="694A61EF"/>
    <w:rsid w:val="699B2EEF"/>
    <w:rsid w:val="69AF0748"/>
    <w:rsid w:val="6A222CC8"/>
    <w:rsid w:val="6A242EE4"/>
    <w:rsid w:val="6A5437CA"/>
    <w:rsid w:val="6A771266"/>
    <w:rsid w:val="6A793230"/>
    <w:rsid w:val="6A7A0D56"/>
    <w:rsid w:val="6A9A6657"/>
    <w:rsid w:val="6AA10091"/>
    <w:rsid w:val="6AEF0F16"/>
    <w:rsid w:val="6AF723A7"/>
    <w:rsid w:val="6AFC79BD"/>
    <w:rsid w:val="6B1C1E0E"/>
    <w:rsid w:val="6B2B3DFF"/>
    <w:rsid w:val="6B5B4551"/>
    <w:rsid w:val="6B657311"/>
    <w:rsid w:val="6B6A0DCB"/>
    <w:rsid w:val="6B741C4A"/>
    <w:rsid w:val="6BA51E03"/>
    <w:rsid w:val="6BA73DCD"/>
    <w:rsid w:val="6BC95AF1"/>
    <w:rsid w:val="6BD61FBC"/>
    <w:rsid w:val="6BF6440D"/>
    <w:rsid w:val="6BFF5B20"/>
    <w:rsid w:val="6C2216A6"/>
    <w:rsid w:val="6CD02EB0"/>
    <w:rsid w:val="6CE626D3"/>
    <w:rsid w:val="6CE64481"/>
    <w:rsid w:val="6CED3A62"/>
    <w:rsid w:val="6D8343C6"/>
    <w:rsid w:val="6DBE53FE"/>
    <w:rsid w:val="6DC42A14"/>
    <w:rsid w:val="6DE365A2"/>
    <w:rsid w:val="6DE704B1"/>
    <w:rsid w:val="6DF36E56"/>
    <w:rsid w:val="6E041063"/>
    <w:rsid w:val="6E1374F8"/>
    <w:rsid w:val="6E153270"/>
    <w:rsid w:val="6E301E58"/>
    <w:rsid w:val="6E46167B"/>
    <w:rsid w:val="6E4B6C92"/>
    <w:rsid w:val="6E5F273D"/>
    <w:rsid w:val="6E654F16"/>
    <w:rsid w:val="6E6935BC"/>
    <w:rsid w:val="6E735D58"/>
    <w:rsid w:val="6E775CD9"/>
    <w:rsid w:val="6E777A87"/>
    <w:rsid w:val="6E781A51"/>
    <w:rsid w:val="6E8B52E0"/>
    <w:rsid w:val="6ECD58F9"/>
    <w:rsid w:val="6EFA06B8"/>
    <w:rsid w:val="6F1572A0"/>
    <w:rsid w:val="6F1928EC"/>
    <w:rsid w:val="6F2968A7"/>
    <w:rsid w:val="6F467459"/>
    <w:rsid w:val="6F5002D8"/>
    <w:rsid w:val="6F54601A"/>
    <w:rsid w:val="6F665B7C"/>
    <w:rsid w:val="6F7915DC"/>
    <w:rsid w:val="6F8306AD"/>
    <w:rsid w:val="6F8561D3"/>
    <w:rsid w:val="6FDE3B35"/>
    <w:rsid w:val="70027824"/>
    <w:rsid w:val="701B08E6"/>
    <w:rsid w:val="70223A22"/>
    <w:rsid w:val="706978A3"/>
    <w:rsid w:val="70710506"/>
    <w:rsid w:val="70904E30"/>
    <w:rsid w:val="70AB3A18"/>
    <w:rsid w:val="70BC134B"/>
    <w:rsid w:val="70C20D61"/>
    <w:rsid w:val="70C44AD9"/>
    <w:rsid w:val="70CE5958"/>
    <w:rsid w:val="70DF1913"/>
    <w:rsid w:val="70E4517B"/>
    <w:rsid w:val="70ED4030"/>
    <w:rsid w:val="70EE7DA8"/>
    <w:rsid w:val="712E63F7"/>
    <w:rsid w:val="717C53B4"/>
    <w:rsid w:val="71804EA4"/>
    <w:rsid w:val="71FE576C"/>
    <w:rsid w:val="721D26F3"/>
    <w:rsid w:val="722515A8"/>
    <w:rsid w:val="726C5429"/>
    <w:rsid w:val="72824C4C"/>
    <w:rsid w:val="729A3D44"/>
    <w:rsid w:val="72C15774"/>
    <w:rsid w:val="72F773E8"/>
    <w:rsid w:val="730833A3"/>
    <w:rsid w:val="731004AA"/>
    <w:rsid w:val="73306456"/>
    <w:rsid w:val="73351CBE"/>
    <w:rsid w:val="735E7467"/>
    <w:rsid w:val="736F5C2F"/>
    <w:rsid w:val="737C169B"/>
    <w:rsid w:val="73A62BBC"/>
    <w:rsid w:val="73A979E7"/>
    <w:rsid w:val="73CD639B"/>
    <w:rsid w:val="742A10F7"/>
    <w:rsid w:val="744318F3"/>
    <w:rsid w:val="745D327B"/>
    <w:rsid w:val="746F2FAE"/>
    <w:rsid w:val="747219A6"/>
    <w:rsid w:val="74856C75"/>
    <w:rsid w:val="74942A15"/>
    <w:rsid w:val="74B44E65"/>
    <w:rsid w:val="74BE7A92"/>
    <w:rsid w:val="74D6127F"/>
    <w:rsid w:val="74EA0887"/>
    <w:rsid w:val="750C6A4F"/>
    <w:rsid w:val="75295CA3"/>
    <w:rsid w:val="755A3C5E"/>
    <w:rsid w:val="75734D20"/>
    <w:rsid w:val="75E4177A"/>
    <w:rsid w:val="75FE45EA"/>
    <w:rsid w:val="76157B85"/>
    <w:rsid w:val="7621477C"/>
    <w:rsid w:val="763F235F"/>
    <w:rsid w:val="76516E0F"/>
    <w:rsid w:val="76544B51"/>
    <w:rsid w:val="76684159"/>
    <w:rsid w:val="767B0330"/>
    <w:rsid w:val="76960CC6"/>
    <w:rsid w:val="76982C90"/>
    <w:rsid w:val="771542E1"/>
    <w:rsid w:val="771C566F"/>
    <w:rsid w:val="772B41F5"/>
    <w:rsid w:val="77302EC9"/>
    <w:rsid w:val="774424D0"/>
    <w:rsid w:val="774D3A7A"/>
    <w:rsid w:val="77701517"/>
    <w:rsid w:val="779571D0"/>
    <w:rsid w:val="77D777E8"/>
    <w:rsid w:val="77D9530E"/>
    <w:rsid w:val="77E93077"/>
    <w:rsid w:val="77FE6B23"/>
    <w:rsid w:val="77FF289B"/>
    <w:rsid w:val="780B1240"/>
    <w:rsid w:val="785250C1"/>
    <w:rsid w:val="786F5C73"/>
    <w:rsid w:val="7879089F"/>
    <w:rsid w:val="78A23952"/>
    <w:rsid w:val="794B223C"/>
    <w:rsid w:val="79534C4C"/>
    <w:rsid w:val="79764DDF"/>
    <w:rsid w:val="799B65F3"/>
    <w:rsid w:val="7A28257D"/>
    <w:rsid w:val="7A436F8D"/>
    <w:rsid w:val="7A4D1FE3"/>
    <w:rsid w:val="7A545D6B"/>
    <w:rsid w:val="7A5B64AE"/>
    <w:rsid w:val="7A601D17"/>
    <w:rsid w:val="7AB21E46"/>
    <w:rsid w:val="7ACD0A2E"/>
    <w:rsid w:val="7AFB37ED"/>
    <w:rsid w:val="7B4231CA"/>
    <w:rsid w:val="7B494559"/>
    <w:rsid w:val="7B707D38"/>
    <w:rsid w:val="7B854160"/>
    <w:rsid w:val="7B8A691F"/>
    <w:rsid w:val="7BB816DF"/>
    <w:rsid w:val="7BCC0CE6"/>
    <w:rsid w:val="7C0466D2"/>
    <w:rsid w:val="7C1A4147"/>
    <w:rsid w:val="7C266648"/>
    <w:rsid w:val="7C2B3C5E"/>
    <w:rsid w:val="7C3A0345"/>
    <w:rsid w:val="7C7C095E"/>
    <w:rsid w:val="7C885555"/>
    <w:rsid w:val="7CD75B94"/>
    <w:rsid w:val="7CE107C1"/>
    <w:rsid w:val="7CE502B1"/>
    <w:rsid w:val="7D197F5B"/>
    <w:rsid w:val="7D3C7671"/>
    <w:rsid w:val="7D60202E"/>
    <w:rsid w:val="7D8555F0"/>
    <w:rsid w:val="7D9341B1"/>
    <w:rsid w:val="7D9615AC"/>
    <w:rsid w:val="7D983576"/>
    <w:rsid w:val="7D985324"/>
    <w:rsid w:val="7DE14F1D"/>
    <w:rsid w:val="7E7318ED"/>
    <w:rsid w:val="7EAD4DFF"/>
    <w:rsid w:val="7EAF0B77"/>
    <w:rsid w:val="7ED20D09"/>
    <w:rsid w:val="7EF40C80"/>
    <w:rsid w:val="7F0D3AEF"/>
    <w:rsid w:val="7F196938"/>
    <w:rsid w:val="7F58120E"/>
    <w:rsid w:val="7FA2248A"/>
    <w:rsid w:val="7FBD5515"/>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pPr>
  </w:style>
  <w:style w:type="paragraph" w:styleId="5">
    <w:name w:val="Body Text"/>
    <w:basedOn w:val="1"/>
    <w:next w:val="1"/>
    <w:qFormat/>
    <w:uiPriority w:val="0"/>
    <w:pPr>
      <w:tabs>
        <w:tab w:val="left" w:pos="426"/>
      </w:tabs>
    </w:pPr>
    <w:rPr>
      <w:b/>
      <w:bCs/>
    </w:rPr>
  </w:style>
  <w:style w:type="paragraph" w:styleId="6">
    <w:name w:val="Body Text Indent"/>
    <w:basedOn w:val="1"/>
    <w:qFormat/>
    <w:uiPriority w:val="0"/>
    <w:pPr>
      <w:spacing w:line="700" w:lineRule="exact"/>
      <w:ind w:left="960"/>
    </w:pPr>
    <w:rPr>
      <w:sz w:val="44"/>
    </w:rPr>
  </w:style>
  <w:style w:type="paragraph" w:styleId="7">
    <w:name w:val="Plain Text"/>
    <w:basedOn w:val="1"/>
    <w:qFormat/>
    <w:uiPriority w:val="0"/>
    <w:rPr>
      <w:rFonts w:ascii="宋体" w:hAnsi="Courier New"/>
      <w:sz w:val="21"/>
    </w:rPr>
  </w:style>
  <w:style w:type="paragraph" w:styleId="8">
    <w:name w:val="Date"/>
    <w:basedOn w:val="1"/>
    <w:next w:val="1"/>
    <w:qFormat/>
    <w:uiPriority w:val="0"/>
    <w:rPr>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1">
    <w:name w:val="Body Text First Indent 2"/>
    <w:basedOn w:val="6"/>
    <w:qFormat/>
    <w:uiPriority w:val="0"/>
    <w:pPr>
      <w:spacing w:line="360" w:lineRule="exact"/>
      <w:ind w:left="0" w:firstLine="482"/>
    </w:pPr>
    <w:rPr>
      <w:rFonts w:ascii="Arial" w:hAnsi="Arial"/>
      <w:sz w:val="24"/>
    </w:rPr>
  </w:style>
  <w:style w:type="character" w:styleId="14">
    <w:name w:val="page number"/>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34</Pages>
  <Words>5632</Words>
  <Characters>6107</Characters>
  <Lines>0</Lines>
  <Paragraphs>0</Paragraphs>
  <TotalTime>7</TotalTime>
  <ScaleCrop>false</ScaleCrop>
  <LinksUpToDate>false</LinksUpToDate>
  <CharactersWithSpaces>6154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宋成成</cp:lastModifiedBy>
  <dcterms:modified xsi:type="dcterms:W3CDTF">2026-10-10T07:47:42Z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543781E9917C4FCFB26B5C05900FF833_13</vt:lpwstr>
  </property>
  <property fmtid="{D5CDD505-2E9C-101B-9397-08002B2CF9AE}" pid="4" name="KSOTemplateDocerSaveRecord">
    <vt:lpwstr>eyJoZGlkIjoiZGI0NWNjYjdmNjA4OTRhMTQ1OTk0MDM1MzQ0OTA4NWQiLCJ1c2VySWQiOiIxNTQ5ODY5MzQ3In0=</vt:lpwstr>
  </property>
</Properties>
</file>