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val="en-US" w:eastAsia="zh-CN"/>
        </w:rPr>
        <w:t>设备</w:t>
      </w:r>
      <w:r>
        <w:rPr>
          <w:rFonts w:hint="eastAsia" w:ascii="方正小标宋_GBK" w:hAnsi="方正小标宋_GBK" w:eastAsia="方正小标宋_GBK" w:cs="方正小标宋_GBK"/>
          <w:bCs/>
          <w:sz w:val="30"/>
          <w:szCs w:val="30"/>
        </w:rPr>
        <w:t>类采购公告</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多功能生物刺激反馈仪项目</w:t>
      </w:r>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bookmarkEnd w:id="0"/>
    <w:p w14:paraId="65B4B9A8">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多功能生物刺激反馈仪项目</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CYKF-S2026047</w:t>
      </w:r>
    </w:p>
    <w:p w14:paraId="46DEF747">
      <w:pPr>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三、项目内容：</w:t>
      </w:r>
    </w:p>
    <w:tbl>
      <w:tblPr>
        <w:tblStyle w:val="8"/>
        <w:tblW w:w="57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9"/>
        <w:gridCol w:w="563"/>
        <w:gridCol w:w="512"/>
        <w:gridCol w:w="1213"/>
        <w:gridCol w:w="1427"/>
        <w:gridCol w:w="1450"/>
        <w:gridCol w:w="1475"/>
        <w:gridCol w:w="1912"/>
      </w:tblGrid>
      <w:tr w14:paraId="374C2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650" w:type="pct"/>
            <w:tcBorders>
              <w:top w:val="single" w:color="auto" w:sz="4" w:space="0"/>
              <w:left w:val="single" w:color="auto" w:sz="4" w:space="0"/>
              <w:right w:val="single" w:color="auto" w:sz="4" w:space="0"/>
            </w:tcBorders>
            <w:noWrap w:val="0"/>
            <w:vAlign w:val="center"/>
          </w:tcPr>
          <w:p w14:paraId="72C6E942">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项目内容</w:t>
            </w:r>
          </w:p>
        </w:tc>
        <w:tc>
          <w:tcPr>
            <w:tcW w:w="286" w:type="pct"/>
            <w:tcBorders>
              <w:top w:val="single" w:color="auto" w:sz="4" w:space="0"/>
              <w:left w:val="single" w:color="auto" w:sz="4" w:space="0"/>
              <w:right w:val="single" w:color="auto" w:sz="4" w:space="0"/>
            </w:tcBorders>
            <w:noWrap w:val="0"/>
            <w:vAlign w:val="center"/>
          </w:tcPr>
          <w:p w14:paraId="5F6612F2">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数量</w:t>
            </w:r>
          </w:p>
        </w:tc>
        <w:tc>
          <w:tcPr>
            <w:tcW w:w="260" w:type="pct"/>
            <w:tcBorders>
              <w:top w:val="single" w:color="auto" w:sz="4" w:space="0"/>
              <w:left w:val="single" w:color="auto" w:sz="4" w:space="0"/>
              <w:right w:val="single" w:color="auto" w:sz="4" w:space="0"/>
            </w:tcBorders>
            <w:noWrap w:val="0"/>
            <w:vAlign w:val="center"/>
          </w:tcPr>
          <w:p w14:paraId="5D6A3FC8">
            <w:pPr>
              <w:tabs>
                <w:tab w:val="left" w:pos="720"/>
              </w:tabs>
              <w:adjustRightInd w:val="0"/>
              <w:snapToGrid w:val="0"/>
              <w:spacing w:line="240" w:lineRule="auto"/>
              <w:jc w:val="center"/>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单位</w:t>
            </w:r>
          </w:p>
        </w:tc>
        <w:tc>
          <w:tcPr>
            <w:tcW w:w="616" w:type="pct"/>
            <w:tcBorders>
              <w:top w:val="single" w:color="auto" w:sz="4" w:space="0"/>
              <w:left w:val="single" w:color="auto" w:sz="4" w:space="0"/>
              <w:right w:val="single" w:color="auto" w:sz="4" w:space="0"/>
            </w:tcBorders>
            <w:noWrap w:val="0"/>
            <w:vAlign w:val="center"/>
          </w:tcPr>
          <w:p w14:paraId="7B80AC4E">
            <w:pPr>
              <w:tabs>
                <w:tab w:val="left" w:pos="720"/>
              </w:tabs>
              <w:adjustRightInd w:val="0"/>
              <w:snapToGrid w:val="0"/>
              <w:spacing w:line="240" w:lineRule="auto"/>
              <w:jc w:val="center"/>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预算单价（万元）</w:t>
            </w:r>
          </w:p>
        </w:tc>
        <w:tc>
          <w:tcPr>
            <w:tcW w:w="725" w:type="pct"/>
            <w:tcBorders>
              <w:top w:val="single" w:color="auto" w:sz="4" w:space="0"/>
              <w:left w:val="single" w:color="auto" w:sz="4" w:space="0"/>
              <w:right w:val="single" w:color="auto" w:sz="4" w:space="0"/>
            </w:tcBorders>
            <w:noWrap w:val="0"/>
            <w:vAlign w:val="center"/>
          </w:tcPr>
          <w:p w14:paraId="406C52F0">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预算总金额</w:t>
            </w:r>
          </w:p>
          <w:p w14:paraId="2F89A4DD">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（万元）</w:t>
            </w:r>
          </w:p>
        </w:tc>
        <w:tc>
          <w:tcPr>
            <w:tcW w:w="737" w:type="pct"/>
            <w:tcBorders>
              <w:top w:val="single" w:color="auto" w:sz="4" w:space="0"/>
              <w:left w:val="single" w:color="auto" w:sz="4" w:space="0"/>
              <w:right w:val="single" w:color="auto" w:sz="4" w:space="0"/>
            </w:tcBorders>
            <w:noWrap w:val="0"/>
            <w:vAlign w:val="center"/>
          </w:tcPr>
          <w:p w14:paraId="31E81427">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投标保证金（元）</w:t>
            </w:r>
          </w:p>
        </w:tc>
        <w:tc>
          <w:tcPr>
            <w:tcW w:w="750" w:type="pct"/>
            <w:tcBorders>
              <w:top w:val="single" w:color="auto" w:sz="4" w:space="0"/>
              <w:left w:val="single" w:color="auto" w:sz="4" w:space="0"/>
              <w:right w:val="single" w:color="auto" w:sz="4" w:space="0"/>
            </w:tcBorders>
            <w:noWrap w:val="0"/>
            <w:vAlign w:val="center"/>
          </w:tcPr>
          <w:p w14:paraId="5C3C8E16">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成交供应商（名）</w:t>
            </w:r>
          </w:p>
        </w:tc>
        <w:tc>
          <w:tcPr>
            <w:tcW w:w="972" w:type="pct"/>
            <w:tcBorders>
              <w:top w:val="single" w:color="auto" w:sz="4" w:space="0"/>
              <w:left w:val="single" w:color="auto" w:sz="4" w:space="0"/>
              <w:right w:val="single" w:color="auto" w:sz="4" w:space="0"/>
            </w:tcBorders>
            <w:noWrap w:val="0"/>
            <w:vAlign w:val="center"/>
          </w:tcPr>
          <w:p w14:paraId="40DB31D9">
            <w:pPr>
              <w:tabs>
                <w:tab w:val="left" w:pos="720"/>
              </w:tabs>
              <w:adjustRightInd w:val="0"/>
              <w:snapToGrid w:val="0"/>
              <w:spacing w:line="240" w:lineRule="auto"/>
              <w:jc w:val="center"/>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备注</w:t>
            </w:r>
          </w:p>
        </w:tc>
      </w:tr>
      <w:tr w14:paraId="5ABB5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650" w:type="pct"/>
            <w:tcBorders>
              <w:top w:val="single" w:color="auto" w:sz="4" w:space="0"/>
              <w:left w:val="single" w:color="auto" w:sz="4" w:space="0"/>
              <w:bottom w:val="single" w:color="auto" w:sz="4" w:space="0"/>
              <w:right w:val="single" w:color="auto" w:sz="4" w:space="0"/>
            </w:tcBorders>
            <w:noWrap w:val="0"/>
            <w:vAlign w:val="center"/>
          </w:tcPr>
          <w:p w14:paraId="510DDE31">
            <w:pPr>
              <w:tabs>
                <w:tab w:val="left" w:pos="720"/>
              </w:tabs>
              <w:adjustRightInd w:val="0"/>
              <w:snapToGrid w:val="0"/>
              <w:spacing w:line="240" w:lineRule="auto"/>
              <w:jc w:val="center"/>
              <w:rPr>
                <w:rFonts w:hint="default" w:ascii="方正仿宋_GBK" w:hAnsi="方正仿宋_GBK" w:eastAsia="方正仿宋_GBK" w:cs="方正仿宋_GBK"/>
                <w:color w:val="auto"/>
                <w:sz w:val="24"/>
                <w:szCs w:val="24"/>
                <w:u w:val="none"/>
                <w:lang w:val="en-US" w:eastAsia="zh-CN"/>
              </w:rPr>
            </w:pPr>
            <w:bookmarkStart w:id="2" w:name="_Hlk344477914"/>
            <w:r>
              <w:rPr>
                <w:rFonts w:hint="eastAsia" w:ascii="方正仿宋_GBK" w:hAnsi="方正仿宋_GBK" w:eastAsia="方正仿宋_GBK" w:cs="方正仿宋_GBK"/>
                <w:b w:val="0"/>
                <w:bCs w:val="0"/>
                <w:color w:val="auto"/>
                <w:sz w:val="24"/>
                <w:szCs w:val="24"/>
                <w:lang w:val="en-US" w:eastAsia="zh-CN"/>
              </w:rPr>
              <w:t>多功能生物刺激反馈仪</w:t>
            </w:r>
          </w:p>
        </w:tc>
        <w:tc>
          <w:tcPr>
            <w:tcW w:w="286" w:type="pct"/>
            <w:tcBorders>
              <w:top w:val="single" w:color="auto" w:sz="4" w:space="0"/>
              <w:left w:val="single" w:color="auto" w:sz="4" w:space="0"/>
              <w:bottom w:val="single" w:color="auto" w:sz="4" w:space="0"/>
              <w:right w:val="single" w:color="auto" w:sz="4" w:space="0"/>
            </w:tcBorders>
            <w:noWrap w:val="0"/>
            <w:vAlign w:val="center"/>
          </w:tcPr>
          <w:p w14:paraId="0A84FD72">
            <w:pPr>
              <w:spacing w:line="240" w:lineRule="auto"/>
              <w:jc w:val="center"/>
              <w:rPr>
                <w:rFonts w:hint="default" w:ascii="方正仿宋_GBK" w:hAnsi="方正仿宋_GBK" w:eastAsia="方正仿宋_GBK" w:cs="方正仿宋_GBK"/>
                <w:color w:val="auto"/>
                <w:sz w:val="24"/>
                <w:szCs w:val="24"/>
                <w:u w:val="none"/>
                <w:lang w:val="en-US" w:eastAsia="zh-CN"/>
              </w:rPr>
            </w:pPr>
            <w:r>
              <w:rPr>
                <w:rFonts w:hint="eastAsia" w:ascii="方正仿宋_GBK" w:hAnsi="方正仿宋_GBK" w:eastAsia="方正仿宋_GBK" w:cs="方正仿宋_GBK"/>
                <w:color w:val="auto"/>
                <w:sz w:val="24"/>
                <w:szCs w:val="24"/>
                <w:u w:val="none"/>
                <w:lang w:val="en-US" w:eastAsia="zh-CN"/>
              </w:rPr>
              <w:t>1</w:t>
            </w:r>
          </w:p>
        </w:tc>
        <w:tc>
          <w:tcPr>
            <w:tcW w:w="260" w:type="pct"/>
            <w:tcBorders>
              <w:top w:val="single" w:color="auto" w:sz="4" w:space="0"/>
              <w:left w:val="single" w:color="auto" w:sz="4" w:space="0"/>
              <w:bottom w:val="single" w:color="auto" w:sz="4" w:space="0"/>
              <w:right w:val="single" w:color="auto" w:sz="4" w:space="0"/>
            </w:tcBorders>
            <w:noWrap w:val="0"/>
            <w:vAlign w:val="center"/>
          </w:tcPr>
          <w:p w14:paraId="2FDE6DBF">
            <w:pPr>
              <w:spacing w:line="240" w:lineRule="auto"/>
              <w:jc w:val="center"/>
              <w:rPr>
                <w:rFonts w:hint="default" w:ascii="方正仿宋_GBK" w:hAnsi="方正仿宋_GBK" w:eastAsia="方正仿宋_GBK" w:cs="方正仿宋_GBK"/>
                <w:color w:val="auto"/>
                <w:sz w:val="24"/>
                <w:szCs w:val="24"/>
                <w:u w:val="none"/>
                <w:lang w:val="en-US" w:eastAsia="zh-CN"/>
              </w:rPr>
            </w:pPr>
            <w:r>
              <w:rPr>
                <w:rFonts w:hint="eastAsia" w:ascii="方正仿宋_GBK" w:hAnsi="方正仿宋_GBK" w:eastAsia="方正仿宋_GBK" w:cs="方正仿宋_GBK"/>
                <w:color w:val="auto"/>
                <w:sz w:val="24"/>
                <w:szCs w:val="24"/>
                <w:u w:val="none"/>
                <w:lang w:val="en-US" w:eastAsia="zh-CN"/>
              </w:rPr>
              <w:t>台</w:t>
            </w:r>
          </w:p>
        </w:tc>
        <w:tc>
          <w:tcPr>
            <w:tcW w:w="61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0E33517">
            <w:pPr>
              <w:spacing w:line="240" w:lineRule="auto"/>
              <w:jc w:val="center"/>
              <w:rPr>
                <w:rFonts w:hint="default" w:ascii="方正仿宋_GBK" w:hAnsi="方正仿宋_GBK" w:eastAsia="方正仿宋_GBK" w:cs="方正仿宋_GBK"/>
                <w:color w:val="auto"/>
                <w:kern w:val="2"/>
                <w:sz w:val="24"/>
                <w:szCs w:val="24"/>
                <w:u w:val="none"/>
                <w:lang w:val="en-US" w:eastAsia="zh-CN" w:bidi="ar-SA"/>
              </w:rPr>
            </w:pPr>
            <w:r>
              <w:rPr>
                <w:rFonts w:hint="eastAsia" w:ascii="方正仿宋_GBK" w:hAnsi="方正仿宋_GBK" w:eastAsia="方正仿宋_GBK" w:cs="方正仿宋_GBK"/>
                <w:color w:val="auto"/>
                <w:sz w:val="24"/>
                <w:szCs w:val="24"/>
                <w:u w:val="none"/>
                <w:lang w:val="en-US" w:eastAsia="zh-CN"/>
              </w:rPr>
              <w:t>7.65</w:t>
            </w:r>
          </w:p>
        </w:tc>
        <w:tc>
          <w:tcPr>
            <w:tcW w:w="72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DBDA852">
            <w:pPr>
              <w:spacing w:line="240" w:lineRule="auto"/>
              <w:jc w:val="center"/>
              <w:rPr>
                <w:rFonts w:hint="default" w:ascii="方正仿宋_GBK" w:hAnsi="方正仿宋_GBK" w:eastAsia="方正仿宋_GBK" w:cs="方正仿宋_GBK"/>
                <w:color w:val="auto"/>
                <w:kern w:val="2"/>
                <w:sz w:val="24"/>
                <w:szCs w:val="24"/>
                <w:u w:val="none"/>
                <w:lang w:val="en-US" w:eastAsia="zh-CN" w:bidi="ar-SA"/>
              </w:rPr>
            </w:pPr>
            <w:r>
              <w:rPr>
                <w:rFonts w:hint="eastAsia" w:ascii="方正仿宋_GBK" w:hAnsi="方正仿宋_GBK" w:eastAsia="方正仿宋_GBK" w:cs="方正仿宋_GBK"/>
                <w:color w:val="auto"/>
                <w:sz w:val="24"/>
                <w:szCs w:val="24"/>
                <w:u w:val="none"/>
                <w:lang w:val="en-US" w:eastAsia="zh-CN"/>
              </w:rPr>
              <w:t>7.65</w:t>
            </w:r>
          </w:p>
        </w:tc>
        <w:tc>
          <w:tcPr>
            <w:tcW w:w="73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76A9DD2">
            <w:pPr>
              <w:spacing w:line="240" w:lineRule="auto"/>
              <w:jc w:val="center"/>
              <w:rPr>
                <w:rFonts w:hint="default" w:ascii="方正仿宋_GBK" w:hAnsi="方正仿宋_GBK" w:eastAsia="方正仿宋_GBK" w:cs="方正仿宋_GBK"/>
                <w:color w:val="auto"/>
                <w:kern w:val="2"/>
                <w:sz w:val="24"/>
                <w:szCs w:val="24"/>
                <w:u w:val="none"/>
                <w:lang w:val="en-US" w:eastAsia="zh-CN" w:bidi="ar-SA"/>
              </w:rPr>
            </w:pPr>
            <w:r>
              <w:rPr>
                <w:rFonts w:hint="eastAsia" w:ascii="方正仿宋_GBK" w:hAnsi="方正仿宋_GBK" w:eastAsia="方正仿宋_GBK" w:cs="方正仿宋_GBK"/>
                <w:color w:val="auto"/>
                <w:sz w:val="24"/>
                <w:szCs w:val="24"/>
                <w:u w:val="none"/>
                <w:lang w:val="en-US" w:eastAsia="zh-CN"/>
              </w:rPr>
              <w:t>1500.00</w:t>
            </w:r>
          </w:p>
        </w:tc>
        <w:tc>
          <w:tcPr>
            <w:tcW w:w="750" w:type="pct"/>
            <w:tcBorders>
              <w:top w:val="single" w:color="auto" w:sz="4" w:space="0"/>
              <w:left w:val="single" w:color="auto" w:sz="4" w:space="0"/>
              <w:right w:val="single" w:color="auto" w:sz="4" w:space="0"/>
            </w:tcBorders>
            <w:noWrap w:val="0"/>
            <w:vAlign w:val="center"/>
          </w:tcPr>
          <w:p w14:paraId="0BF08BAC">
            <w:pPr>
              <w:numPr>
                <w:ilvl w:val="0"/>
                <w:numId w:val="0"/>
              </w:numPr>
              <w:spacing w:line="240" w:lineRule="auto"/>
              <w:ind w:left="0" w:leftChars="0" w:firstLine="0" w:firstLineChars="0"/>
              <w:jc w:val="center"/>
              <w:rPr>
                <w:rFonts w:hint="default" w:ascii="方正仿宋_GBK" w:hAnsi="方正仿宋_GBK" w:eastAsia="方正仿宋_GBK" w:cs="方正仿宋_GBK"/>
                <w:b w:val="0"/>
                <w:bCs w:val="0"/>
                <w:color w:val="auto"/>
                <w:kern w:val="2"/>
                <w:sz w:val="28"/>
                <w:szCs w:val="28"/>
                <w:highlight w:val="none"/>
                <w:lang w:val="en-US" w:eastAsia="zh-CN" w:bidi="ar-SA"/>
              </w:rPr>
            </w:pPr>
            <w:r>
              <w:rPr>
                <w:rFonts w:hint="eastAsia" w:ascii="方正仿宋_GBK" w:hAnsi="方正仿宋_GBK" w:eastAsia="方正仿宋_GBK" w:cs="方正仿宋_GBK"/>
                <w:b w:val="0"/>
                <w:bCs w:val="0"/>
                <w:color w:val="auto"/>
                <w:kern w:val="2"/>
                <w:sz w:val="28"/>
                <w:szCs w:val="28"/>
                <w:highlight w:val="none"/>
                <w:lang w:val="en-US" w:eastAsia="zh-CN" w:bidi="ar-SA"/>
              </w:rPr>
              <w:t>1</w:t>
            </w:r>
          </w:p>
        </w:tc>
        <w:tc>
          <w:tcPr>
            <w:tcW w:w="972" w:type="pct"/>
            <w:tcBorders>
              <w:top w:val="single" w:color="auto" w:sz="4" w:space="0"/>
              <w:left w:val="single" w:color="auto" w:sz="4" w:space="0"/>
              <w:right w:val="single" w:color="auto" w:sz="4" w:space="0"/>
            </w:tcBorders>
            <w:noWrap w:val="0"/>
            <w:vAlign w:val="center"/>
          </w:tcPr>
          <w:p w14:paraId="5FDEB50B">
            <w:pPr>
              <w:tabs>
                <w:tab w:val="left" w:pos="720"/>
              </w:tabs>
              <w:adjustRightInd w:val="0"/>
              <w:snapToGrid w:val="0"/>
              <w:spacing w:line="240" w:lineRule="auto"/>
              <w:jc w:val="center"/>
              <w:rPr>
                <w:rFonts w:hint="eastAsia" w:ascii="方正仿宋_GBK" w:hAnsi="方正仿宋_GBK" w:eastAsia="方正仿宋_GBK" w:cs="方正仿宋_GBK"/>
                <w:b w:val="0"/>
                <w:bCs w:val="0"/>
                <w:color w:val="auto"/>
                <w:kern w:val="2"/>
                <w:sz w:val="24"/>
                <w:szCs w:val="24"/>
                <w:highlight w:val="none"/>
                <w:lang w:val="en-US" w:eastAsia="zh-CN" w:bidi="ar-SA"/>
              </w:rPr>
            </w:pPr>
            <w:r>
              <w:rPr>
                <w:rFonts w:hint="eastAsia" w:ascii="方正仿宋_GBK" w:hAnsi="方正仿宋_GBK" w:eastAsia="方正仿宋_GBK" w:cs="方正仿宋_GBK"/>
                <w:b w:val="0"/>
                <w:bCs w:val="0"/>
                <w:color w:val="auto"/>
                <w:sz w:val="24"/>
                <w:szCs w:val="24"/>
                <w:lang w:val="en-US" w:eastAsia="zh-CN"/>
              </w:rPr>
              <w:t>产品必须为中国关境内生产，若为进口产品将按无效响应处理。</w:t>
            </w:r>
          </w:p>
        </w:tc>
      </w:tr>
      <w:bookmarkEnd w:id="2"/>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w:t>
      </w:r>
      <w:bookmarkStart w:id="3" w:name="_Toc465084021"/>
      <w:r>
        <w:rPr>
          <w:rFonts w:hint="eastAsia" w:ascii="方正仿宋_GBK" w:hAnsi="方正仿宋_GBK" w:eastAsia="方正仿宋_GBK" w:cs="方正仿宋_GBK"/>
          <w:color w:val="000000"/>
          <w:sz w:val="24"/>
          <w:szCs w:val="24"/>
          <w:lang w:val="en-US" w:eastAsia="zh-CN"/>
        </w:rPr>
        <w:t>院内竞争性谈判</w:t>
      </w:r>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3"/>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5.参加本采购活动前三年内，在经营活动中没有重大违法记录；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0389D4A">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 xml:space="preserve">（二）特定资格条件 </w:t>
      </w:r>
    </w:p>
    <w:p w14:paraId="6377DCCF">
      <w:pPr>
        <w:pageBreakBefore w:val="0"/>
        <w:kinsoku/>
        <w:overflowPunct/>
        <w:bidi w:val="0"/>
        <w:spacing w:line="400" w:lineRule="exact"/>
        <w:ind w:firstLine="482" w:firstLineChars="200"/>
        <w:textAlignment w:val="auto"/>
        <w:rPr>
          <w:rFonts w:hint="eastAsia" w:ascii="方正仿宋_GBK" w:hAnsi="方正仿宋_GBK" w:eastAsia="方正仿宋_GBK" w:cs="方正仿宋_GBK"/>
          <w:b/>
          <w:bCs/>
          <w:color w:val="auto"/>
          <w:sz w:val="24"/>
          <w:highlight w:val="none"/>
          <w:lang w:val="en-US" w:eastAsia="zh-CN"/>
        </w:rPr>
      </w:pPr>
      <w:r>
        <w:rPr>
          <w:rFonts w:hint="eastAsia" w:ascii="方正仿宋_GBK" w:hAnsi="方正仿宋_GBK" w:eastAsia="方正仿宋_GBK" w:cs="方正仿宋_GBK"/>
          <w:b/>
          <w:bCs/>
          <w:color w:val="auto"/>
          <w:sz w:val="24"/>
          <w:highlight w:val="none"/>
          <w:lang w:val="en-US" w:eastAsia="zh-CN"/>
        </w:rPr>
        <w:t>1.</w:t>
      </w:r>
      <w:r>
        <w:rPr>
          <w:rFonts w:hint="eastAsia" w:ascii="方正仿宋_GBK" w:hAnsi="方正仿宋_GBK" w:eastAsia="方正仿宋_GBK" w:cs="方正仿宋_GBK"/>
          <w:b/>
          <w:bCs/>
          <w:color w:val="auto"/>
          <w:sz w:val="24"/>
          <w:highlight w:val="none"/>
        </w:rPr>
        <w:t>投标人</w:t>
      </w:r>
      <w:r>
        <w:rPr>
          <w:rFonts w:hint="eastAsia" w:ascii="方正仿宋_GBK" w:hAnsi="方正仿宋_GBK" w:eastAsia="方正仿宋_GBK" w:cs="方正仿宋_GBK"/>
          <w:b/>
          <w:bCs/>
          <w:color w:val="auto"/>
          <w:sz w:val="24"/>
          <w:highlight w:val="none"/>
          <w:lang w:val="en-US" w:eastAsia="zh-CN"/>
        </w:rPr>
        <w:t>若是所投产品的制造商：</w:t>
      </w:r>
    </w:p>
    <w:p w14:paraId="22595588">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b w:val="0"/>
          <w:bCs w:val="0"/>
          <w:strike w:val="0"/>
          <w:dstrike w:val="0"/>
          <w:color w:val="auto"/>
          <w:sz w:val="24"/>
          <w:szCs w:val="24"/>
          <w:lang w:val="en-US" w:eastAsia="zh-CN"/>
        </w:rPr>
      </w:pPr>
      <w:r>
        <w:rPr>
          <w:rFonts w:hint="eastAsia" w:ascii="方正仿宋_GBK" w:hAnsi="方正仿宋_GBK" w:eastAsia="方正仿宋_GBK" w:cs="方正仿宋_GBK"/>
          <w:color w:val="auto"/>
          <w:sz w:val="24"/>
          <w:highlight w:val="none"/>
          <w:lang w:val="en-US" w:eastAsia="zh-CN"/>
        </w:rPr>
        <w:t>1.1</w:t>
      </w:r>
      <w:r>
        <w:rPr>
          <w:rFonts w:hint="eastAsia" w:ascii="方正仿宋_GBK" w:hAnsi="方正仿宋_GBK" w:eastAsia="方正仿宋_GBK" w:cs="方正仿宋_GBK"/>
          <w:color w:val="auto"/>
          <w:sz w:val="24"/>
          <w:highlight w:val="none"/>
        </w:rPr>
        <w:t>所投产品属于第</w:t>
      </w:r>
      <w:r>
        <w:rPr>
          <w:rFonts w:hint="eastAsia" w:ascii="方正仿宋_GBK" w:hAnsi="方正仿宋_GBK" w:eastAsia="方正仿宋_GBK" w:cs="方正仿宋_GBK"/>
          <w:color w:val="auto"/>
          <w:sz w:val="24"/>
          <w:highlight w:val="none"/>
          <w:lang w:val="en-US" w:eastAsia="zh-CN"/>
        </w:rPr>
        <w:t>一</w:t>
      </w:r>
      <w:r>
        <w:rPr>
          <w:rFonts w:hint="eastAsia" w:ascii="方正仿宋_GBK" w:hAnsi="方正仿宋_GBK" w:eastAsia="方正仿宋_GBK" w:cs="方正仿宋_GBK"/>
          <w:color w:val="auto"/>
          <w:sz w:val="24"/>
          <w:highlight w:val="none"/>
        </w:rPr>
        <w:t>类医疗器械的，应</w:t>
      </w:r>
      <w:r>
        <w:rPr>
          <w:rFonts w:hint="eastAsia" w:ascii="方正仿宋_GBK" w:hAnsi="方正仿宋_GBK" w:eastAsia="方正仿宋_GBK" w:cs="方正仿宋_GBK"/>
          <w:color w:val="auto"/>
          <w:sz w:val="24"/>
          <w:highlight w:val="none"/>
          <w:lang w:val="en-US" w:eastAsia="zh-CN"/>
        </w:rPr>
        <w:t>具有并提供</w:t>
      </w:r>
      <w:r>
        <w:rPr>
          <w:rFonts w:hint="eastAsia" w:ascii="方正仿宋_GBK" w:hAnsi="方正仿宋_GBK" w:eastAsia="方正仿宋_GBK" w:cs="方正仿宋_GBK"/>
          <w:color w:val="auto"/>
          <w:sz w:val="24"/>
          <w:highlight w:val="none"/>
        </w:rPr>
        <w:t>第一类医疗器械生产备案凭证</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提供复印件</w:t>
      </w:r>
      <w:r>
        <w:rPr>
          <w:rFonts w:hint="eastAsia" w:ascii="方正仿宋_GBK" w:hAnsi="方正仿宋_GBK" w:eastAsia="方正仿宋_GBK" w:cs="方正仿宋_GBK"/>
          <w:b w:val="0"/>
          <w:bCs w:val="0"/>
          <w:strike w:val="0"/>
          <w:dstrike w:val="0"/>
          <w:color w:val="auto"/>
          <w:sz w:val="24"/>
          <w:szCs w:val="24"/>
          <w:lang w:val="en-US" w:eastAsia="zh-CN"/>
        </w:rPr>
        <w:t>；</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第二类</w:t>
      </w:r>
      <w:r>
        <w:rPr>
          <w:rFonts w:hint="eastAsia" w:ascii="方正仿宋_GBK" w:hAnsi="方正仿宋_GBK" w:eastAsia="方正仿宋_GBK" w:cs="方正仿宋_GBK"/>
          <w:strike w:val="0"/>
          <w:dstrike w:val="0"/>
          <w:color w:val="auto"/>
          <w:sz w:val="24"/>
          <w:highlight w:val="none"/>
          <w:lang w:val="en-US" w:eastAsia="zh-CN"/>
        </w:rPr>
        <w:t>或</w:t>
      </w:r>
      <w:r>
        <w:rPr>
          <w:rFonts w:hint="eastAsia" w:ascii="方正仿宋_GBK" w:hAnsi="方正仿宋_GBK" w:eastAsia="方正仿宋_GBK" w:cs="方正仿宋_GBK"/>
          <w:color w:val="auto"/>
          <w:sz w:val="24"/>
          <w:highlight w:val="none"/>
        </w:rPr>
        <w:t>第三类医疗器械的，应</w:t>
      </w:r>
      <w:r>
        <w:rPr>
          <w:rFonts w:hint="eastAsia" w:ascii="方正仿宋_GBK" w:hAnsi="方正仿宋_GBK" w:eastAsia="方正仿宋_GBK" w:cs="方正仿宋_GBK"/>
          <w:color w:val="auto"/>
          <w:sz w:val="24"/>
          <w:highlight w:val="none"/>
          <w:lang w:val="en-US" w:eastAsia="zh-CN"/>
        </w:rPr>
        <w:t>具有并提供</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生产</w:t>
      </w:r>
      <w:r>
        <w:rPr>
          <w:rFonts w:hint="eastAsia" w:ascii="方正仿宋_GBK" w:hAnsi="方正仿宋_GBK" w:eastAsia="方正仿宋_GBK" w:cs="方正仿宋_GBK"/>
          <w:color w:val="auto"/>
          <w:sz w:val="24"/>
          <w:highlight w:val="none"/>
        </w:rPr>
        <w:t>许可证</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提供复印件</w:t>
      </w:r>
      <w:r>
        <w:rPr>
          <w:rFonts w:hint="eastAsia" w:ascii="方正仿宋_GBK" w:hAnsi="方正仿宋_GBK" w:eastAsia="方正仿宋_GBK" w:cs="方正仿宋_GBK"/>
          <w:b w:val="0"/>
          <w:bCs w:val="0"/>
          <w:strike w:val="0"/>
          <w:dstrike w:val="0"/>
          <w:color w:val="auto"/>
          <w:sz w:val="24"/>
          <w:szCs w:val="24"/>
          <w:lang w:val="en-US" w:eastAsia="zh-CN"/>
        </w:rPr>
        <w:t>；</w:t>
      </w:r>
    </w:p>
    <w:p w14:paraId="26C738F7">
      <w:pPr>
        <w:pageBreakBefore w:val="0"/>
        <w:kinsoku/>
        <w:overflowPunct/>
        <w:bidi w:val="0"/>
        <w:spacing w:line="400" w:lineRule="exact"/>
        <w:ind w:firstLine="480" w:firstLineChars="200"/>
        <w:textAlignment w:val="auto"/>
        <w:rPr>
          <w:rFonts w:hint="eastAsia"/>
          <w:color w:val="auto"/>
          <w:lang w:val="en-US" w:eastAsia="zh-CN"/>
        </w:rPr>
      </w:pPr>
      <w:r>
        <w:rPr>
          <w:rFonts w:hint="eastAsia" w:ascii="方正仿宋_GBK" w:hAnsi="方正仿宋_GBK" w:eastAsia="方正仿宋_GBK" w:cs="方正仿宋_GBK"/>
          <w:b w:val="0"/>
          <w:bCs w:val="0"/>
          <w:strike w:val="0"/>
          <w:dstrike w:val="0"/>
          <w:color w:val="auto"/>
          <w:sz w:val="24"/>
          <w:szCs w:val="24"/>
          <w:lang w:val="en-US" w:eastAsia="zh-CN"/>
        </w:rPr>
        <w:t>1.2</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第一类</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的，应具有并提供投标产品有效期内的</w:t>
      </w:r>
      <w:r>
        <w:rPr>
          <w:rFonts w:hint="eastAsia" w:ascii="方正仿宋_GBK" w:hAnsi="方正仿宋_GBK" w:eastAsia="方正仿宋_GBK" w:cs="方正仿宋_GBK"/>
          <w:color w:val="auto"/>
          <w:sz w:val="24"/>
          <w:highlight w:val="none"/>
        </w:rPr>
        <w:t>第</w:t>
      </w:r>
      <w:r>
        <w:rPr>
          <w:rFonts w:hint="eastAsia" w:ascii="方正仿宋_GBK" w:hAnsi="方正仿宋_GBK" w:eastAsia="方正仿宋_GBK" w:cs="方正仿宋_GBK"/>
          <w:color w:val="auto"/>
          <w:sz w:val="24"/>
          <w:highlight w:val="none"/>
          <w:lang w:val="en-US" w:eastAsia="zh-CN"/>
        </w:rPr>
        <w:t>一</w:t>
      </w:r>
      <w:r>
        <w:rPr>
          <w:rFonts w:hint="eastAsia" w:ascii="方正仿宋_GBK" w:hAnsi="方正仿宋_GBK" w:eastAsia="方正仿宋_GBK" w:cs="方正仿宋_GBK"/>
          <w:color w:val="auto"/>
          <w:sz w:val="24"/>
          <w:highlight w:val="none"/>
        </w:rPr>
        <w:t>类</w:t>
      </w:r>
      <w:r>
        <w:rPr>
          <w:rFonts w:hint="eastAsia" w:ascii="方正仿宋_GBK" w:hAnsi="方正仿宋_GBK" w:eastAsia="方正仿宋_GBK" w:cs="方正仿宋_GBK"/>
          <w:color w:val="auto"/>
          <w:sz w:val="24"/>
          <w:highlight w:val="none"/>
          <w:lang w:val="en-US" w:eastAsia="zh-CN"/>
        </w:rPr>
        <w:t>医疗器械备案凭证，提供复印件；</w:t>
      </w:r>
      <w:r>
        <w:rPr>
          <w:rFonts w:hint="eastAsia" w:ascii="方正仿宋_GBK" w:hAnsi="方正仿宋_GBK" w:eastAsia="方正仿宋_GBK" w:cs="方正仿宋_GBK"/>
          <w:b w:val="0"/>
          <w:bCs w:val="0"/>
          <w:strike w:val="0"/>
          <w:dstrike w:val="0"/>
          <w:color w:val="auto"/>
          <w:sz w:val="24"/>
          <w:szCs w:val="24"/>
          <w:lang w:val="en-US" w:eastAsia="zh-CN"/>
        </w:rPr>
        <w:t>所投</w:t>
      </w:r>
      <w:r>
        <w:rPr>
          <w:rFonts w:hint="eastAsia" w:ascii="方正仿宋_GBK" w:hAnsi="方正仿宋_GBK" w:eastAsia="方正仿宋_GBK" w:cs="方正仿宋_GBK"/>
          <w:color w:val="auto"/>
          <w:sz w:val="24"/>
          <w:highlight w:val="none"/>
          <w:lang w:val="en-US" w:eastAsia="zh-CN"/>
        </w:rPr>
        <w:t>产品属于</w:t>
      </w:r>
      <w:r>
        <w:rPr>
          <w:rFonts w:hint="eastAsia" w:ascii="方正仿宋_GBK" w:hAnsi="方正仿宋_GBK" w:eastAsia="方正仿宋_GBK" w:cs="方正仿宋_GBK"/>
          <w:color w:val="auto"/>
          <w:sz w:val="24"/>
          <w:highlight w:val="none"/>
        </w:rPr>
        <w:t>第二类或第三类医疗器械的，</w:t>
      </w:r>
      <w:r>
        <w:rPr>
          <w:rFonts w:hint="eastAsia" w:ascii="方正仿宋_GBK" w:hAnsi="方正仿宋_GBK" w:eastAsia="方正仿宋_GBK" w:cs="方正仿宋_GBK"/>
          <w:color w:val="auto"/>
          <w:sz w:val="24"/>
          <w:highlight w:val="none"/>
          <w:lang w:val="en-US" w:eastAsia="zh-CN"/>
        </w:rPr>
        <w:t>应具有并提供投标产品有效期内</w:t>
      </w:r>
      <w:r>
        <w:rPr>
          <w:rFonts w:hint="eastAsia" w:ascii="方正仿宋_GBK" w:hAnsi="方正仿宋_GBK" w:eastAsia="方正仿宋_GBK" w:cs="方正仿宋_GBK"/>
          <w:color w:val="auto"/>
          <w:sz w:val="24"/>
          <w:highlight w:val="none"/>
        </w:rPr>
        <w:t>的医疗器械注册证</w:t>
      </w:r>
      <w:r>
        <w:rPr>
          <w:rFonts w:hint="eastAsia" w:ascii="方正仿宋_GBK" w:hAnsi="方正仿宋_GBK" w:eastAsia="方正仿宋_GBK" w:cs="方正仿宋_GBK"/>
          <w:color w:val="auto"/>
          <w:sz w:val="24"/>
          <w:highlight w:val="none"/>
          <w:lang w:val="en-US" w:eastAsia="zh-CN"/>
        </w:rPr>
        <w:t>，提供复印件；</w:t>
      </w:r>
    </w:p>
    <w:p w14:paraId="46E5F8CB">
      <w:pPr>
        <w:pageBreakBefore w:val="0"/>
        <w:kinsoku/>
        <w:overflowPunct/>
        <w:bidi w:val="0"/>
        <w:spacing w:line="400" w:lineRule="exact"/>
        <w:ind w:firstLine="482" w:firstLineChars="200"/>
        <w:textAlignment w:val="auto"/>
        <w:rPr>
          <w:rFonts w:hint="eastAsia" w:ascii="方正仿宋_GBK" w:hAnsi="方正仿宋_GBK" w:eastAsia="方正仿宋_GBK" w:cs="方正仿宋_GBK"/>
          <w:b/>
          <w:bCs/>
          <w:color w:val="auto"/>
          <w:sz w:val="24"/>
          <w:highlight w:val="none"/>
          <w:lang w:val="en-US" w:eastAsia="zh-CN"/>
        </w:rPr>
      </w:pPr>
      <w:r>
        <w:rPr>
          <w:rFonts w:hint="eastAsia" w:ascii="方正仿宋_GBK" w:hAnsi="方正仿宋_GBK" w:eastAsia="方正仿宋_GBK" w:cs="方正仿宋_GBK"/>
          <w:b/>
          <w:bCs/>
          <w:color w:val="auto"/>
          <w:sz w:val="24"/>
          <w:highlight w:val="none"/>
          <w:lang w:val="en-US" w:eastAsia="zh-CN"/>
        </w:rPr>
        <w:t>2.</w:t>
      </w:r>
      <w:r>
        <w:rPr>
          <w:rFonts w:hint="eastAsia" w:ascii="方正仿宋_GBK" w:hAnsi="方正仿宋_GBK" w:eastAsia="方正仿宋_GBK" w:cs="方正仿宋_GBK"/>
          <w:b/>
          <w:bCs/>
          <w:color w:val="auto"/>
          <w:sz w:val="24"/>
          <w:highlight w:val="none"/>
        </w:rPr>
        <w:t>投标人若不是所投产品的制造商</w:t>
      </w:r>
      <w:r>
        <w:rPr>
          <w:rFonts w:hint="eastAsia" w:ascii="方正仿宋_GBK" w:hAnsi="方正仿宋_GBK" w:eastAsia="方正仿宋_GBK" w:cs="方正仿宋_GBK"/>
          <w:b/>
          <w:bCs/>
          <w:color w:val="auto"/>
          <w:sz w:val="24"/>
          <w:highlight w:val="none"/>
          <w:lang w:eastAsia="zh-CN"/>
        </w:rPr>
        <w:t>：</w:t>
      </w:r>
    </w:p>
    <w:p w14:paraId="7DA2A507">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color w:val="auto"/>
          <w:sz w:val="24"/>
          <w:highlight w:val="none"/>
          <w:lang w:eastAsia="zh-CN"/>
        </w:rPr>
      </w:pPr>
      <w:r>
        <w:rPr>
          <w:rFonts w:hint="eastAsia" w:ascii="方正仿宋_GBK" w:hAnsi="方正仿宋_GBK" w:eastAsia="方正仿宋_GBK" w:cs="方正仿宋_GBK"/>
          <w:color w:val="auto"/>
          <w:sz w:val="24"/>
          <w:highlight w:val="none"/>
          <w:lang w:val="en-US" w:eastAsia="zh-CN"/>
        </w:rPr>
        <w:t>2.1所投产品属于</w:t>
      </w:r>
      <w:r>
        <w:rPr>
          <w:rFonts w:hint="eastAsia" w:ascii="方正仿宋_GBK" w:hAnsi="方正仿宋_GBK" w:eastAsia="方正仿宋_GBK" w:cs="方正仿宋_GBK"/>
          <w:color w:val="auto"/>
          <w:sz w:val="24"/>
          <w:highlight w:val="none"/>
        </w:rPr>
        <w:t>第一类医疗器械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w:t>
      </w:r>
      <w:r>
        <w:rPr>
          <w:rFonts w:hint="eastAsia" w:ascii="方正仿宋_GBK" w:hAnsi="方正仿宋_GBK" w:eastAsia="方正仿宋_GBK" w:cs="方正仿宋_GBK"/>
          <w:color w:val="auto"/>
          <w:sz w:val="24"/>
          <w:highlight w:val="none"/>
        </w:rPr>
        <w:t>营业执照(需含有经营范围)</w:t>
      </w:r>
      <w:r>
        <w:rPr>
          <w:rFonts w:hint="eastAsia" w:ascii="方正仿宋_GBK" w:hAnsi="方正仿宋_GBK" w:eastAsia="方正仿宋_GBK" w:cs="方正仿宋_GBK"/>
          <w:color w:val="auto"/>
          <w:sz w:val="24"/>
          <w:highlight w:val="none"/>
          <w:lang w:val="en-US" w:eastAsia="zh-CN"/>
        </w:rPr>
        <w:t>复印件、制造商的第一类</w:t>
      </w:r>
      <w:r>
        <w:rPr>
          <w:rFonts w:hint="eastAsia" w:ascii="方正仿宋_GBK" w:hAnsi="方正仿宋_GBK" w:eastAsia="方正仿宋_GBK" w:cs="方正仿宋_GBK"/>
          <w:color w:val="auto"/>
          <w:sz w:val="24"/>
          <w:highlight w:val="none"/>
        </w:rPr>
        <w:t>医疗器械生产备案凭证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lang w:eastAsia="zh-CN"/>
        </w:rPr>
        <w:t>；</w:t>
      </w:r>
    </w:p>
    <w:p w14:paraId="7A60F7DC">
      <w:pPr>
        <w:pageBreakBefore w:val="0"/>
        <w:kinsoku/>
        <w:overflowPunct/>
        <w:bidi w:val="0"/>
        <w:spacing w:line="400" w:lineRule="exact"/>
        <w:ind w:firstLine="480" w:firstLineChars="200"/>
        <w:textAlignment w:val="auto"/>
        <w:rPr>
          <w:rFonts w:hint="default"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lang w:val="en-US" w:eastAsia="zh-CN"/>
        </w:rPr>
        <w:t>2.2</w:t>
      </w:r>
      <w:r>
        <w:rPr>
          <w:rFonts w:hint="eastAsia" w:ascii="方正仿宋_GBK" w:hAnsi="方正仿宋_GBK" w:eastAsia="方正仿宋_GBK" w:cs="方正仿宋_GBK"/>
          <w:color w:val="auto"/>
          <w:sz w:val="24"/>
          <w:highlight w:val="none"/>
        </w:rPr>
        <w:t>所投产品属于第二类医疗器械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投标人的第二类</w:t>
      </w:r>
      <w:r>
        <w:rPr>
          <w:rFonts w:hint="eastAsia" w:ascii="方正仿宋_GBK" w:hAnsi="方正仿宋_GBK" w:eastAsia="方正仿宋_GBK" w:cs="方正仿宋_GBK"/>
          <w:color w:val="auto"/>
          <w:sz w:val="24"/>
          <w:highlight w:val="none"/>
        </w:rPr>
        <w:t>医疗器械经营备案凭证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lang w:eastAsia="zh-CN"/>
        </w:rPr>
        <w:t>、</w:t>
      </w:r>
      <w:r>
        <w:rPr>
          <w:rFonts w:hint="eastAsia" w:ascii="方正仿宋_GBK" w:hAnsi="方正仿宋_GBK" w:eastAsia="方正仿宋_GBK" w:cs="方正仿宋_GBK"/>
          <w:color w:val="auto"/>
          <w:sz w:val="24"/>
          <w:highlight w:val="none"/>
          <w:lang w:val="en-US" w:eastAsia="zh-CN"/>
        </w:rPr>
        <w:t>制造商的</w:t>
      </w:r>
      <w:r>
        <w:rPr>
          <w:rFonts w:hint="eastAsia" w:ascii="方正仿宋_GBK" w:hAnsi="方正仿宋_GBK" w:eastAsia="方正仿宋_GBK" w:cs="方正仿宋_GBK"/>
          <w:color w:val="auto"/>
          <w:sz w:val="24"/>
          <w:highlight w:val="none"/>
        </w:rPr>
        <w:t>医疗器械生产许可证</w:t>
      </w:r>
      <w:r>
        <w:rPr>
          <w:rFonts w:hint="eastAsia" w:ascii="方正仿宋_GBK" w:hAnsi="方正仿宋_GBK" w:eastAsia="方正仿宋_GBK" w:cs="方正仿宋_GBK"/>
          <w:color w:val="auto"/>
          <w:sz w:val="24"/>
          <w:highlight w:val="none"/>
          <w:lang w:val="en-US" w:eastAsia="zh-CN"/>
        </w:rPr>
        <w:t>复印件；</w:t>
      </w:r>
    </w:p>
    <w:p w14:paraId="0E17D340">
      <w:pPr>
        <w:pageBreakBefore w:val="0"/>
        <w:kinsoku/>
        <w:overflowPunct/>
        <w:bidi w:val="0"/>
        <w:spacing w:line="400" w:lineRule="exact"/>
        <w:ind w:firstLine="480" w:firstLineChars="200"/>
        <w:textAlignment w:val="auto"/>
        <w:rPr>
          <w:rFonts w:hint="eastAsia" w:ascii="方正仿宋_GBK" w:hAnsi="方正仿宋_GBK" w:eastAsia="方正仿宋_GBK" w:cs="方正仿宋_GBK"/>
          <w:b w:val="0"/>
          <w:bCs w:val="0"/>
          <w:strike w:val="0"/>
          <w:dstrike w:val="0"/>
          <w:color w:val="auto"/>
          <w:sz w:val="24"/>
          <w:szCs w:val="24"/>
          <w:lang w:val="en-US" w:eastAsia="zh-CN"/>
        </w:rPr>
      </w:pPr>
      <w:r>
        <w:rPr>
          <w:rFonts w:hint="eastAsia" w:ascii="方正仿宋_GBK" w:hAnsi="方正仿宋_GBK" w:eastAsia="方正仿宋_GBK" w:cs="方正仿宋_GBK"/>
          <w:color w:val="auto"/>
          <w:sz w:val="24"/>
          <w:highlight w:val="none"/>
          <w:lang w:val="en-US" w:eastAsia="zh-CN"/>
        </w:rPr>
        <w:t>2.3</w:t>
      </w:r>
      <w:r>
        <w:rPr>
          <w:rFonts w:hint="eastAsia" w:ascii="方正仿宋_GBK" w:hAnsi="方正仿宋_GBK" w:eastAsia="方正仿宋_GBK" w:cs="方正仿宋_GBK"/>
          <w:color w:val="auto"/>
          <w:sz w:val="24"/>
          <w:highlight w:val="none"/>
        </w:rPr>
        <w:t>所投产品属于第三类医疗器械</w:t>
      </w:r>
      <w:r>
        <w:rPr>
          <w:rFonts w:hint="eastAsia" w:ascii="方正仿宋_GBK" w:hAnsi="方正仿宋_GBK" w:eastAsia="方正仿宋_GBK" w:cs="方正仿宋_GBK"/>
          <w:color w:val="auto"/>
          <w:sz w:val="24"/>
          <w:highlight w:val="none"/>
          <w:lang w:val="en-US" w:eastAsia="zh-CN"/>
        </w:rPr>
        <w:t>的，</w:t>
      </w:r>
      <w:r>
        <w:rPr>
          <w:rFonts w:hint="eastAsia" w:ascii="方正仿宋_GBK" w:hAnsi="方正仿宋_GBK" w:eastAsia="方正仿宋_GBK" w:cs="方正仿宋_GBK"/>
          <w:color w:val="auto"/>
          <w:sz w:val="24"/>
          <w:highlight w:val="none"/>
        </w:rPr>
        <w:t>需提供</w:t>
      </w:r>
      <w:r>
        <w:rPr>
          <w:rFonts w:hint="eastAsia" w:ascii="方正仿宋_GBK" w:hAnsi="方正仿宋_GBK" w:eastAsia="方正仿宋_GBK" w:cs="方正仿宋_GBK"/>
          <w:color w:val="auto"/>
          <w:sz w:val="24"/>
          <w:highlight w:val="none"/>
          <w:lang w:val="en-US" w:eastAsia="zh-CN"/>
        </w:rPr>
        <w:t>投标人的</w:t>
      </w:r>
      <w:r>
        <w:rPr>
          <w:rFonts w:hint="eastAsia" w:ascii="方正仿宋_GBK" w:hAnsi="方正仿宋_GBK" w:eastAsia="方正仿宋_GBK" w:cs="方正仿宋_GBK"/>
          <w:color w:val="auto"/>
          <w:sz w:val="24"/>
          <w:highlight w:val="none"/>
        </w:rPr>
        <w:t>医疗器械经营许可证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color w:val="auto"/>
          <w:sz w:val="24"/>
          <w:highlight w:val="none"/>
        </w:rPr>
        <w:t>、</w:t>
      </w:r>
      <w:r>
        <w:rPr>
          <w:rFonts w:hint="eastAsia" w:ascii="方正仿宋_GBK" w:hAnsi="方正仿宋_GBK" w:eastAsia="方正仿宋_GBK" w:cs="方正仿宋_GBK"/>
          <w:color w:val="auto"/>
          <w:sz w:val="24"/>
          <w:highlight w:val="none"/>
          <w:lang w:val="en-US" w:eastAsia="zh-CN"/>
        </w:rPr>
        <w:t>制造商的</w:t>
      </w:r>
      <w:r>
        <w:rPr>
          <w:rFonts w:hint="eastAsia" w:ascii="方正仿宋_GBK" w:hAnsi="方正仿宋_GBK" w:eastAsia="方正仿宋_GBK" w:cs="方正仿宋_GBK"/>
          <w:color w:val="auto"/>
          <w:sz w:val="24"/>
          <w:highlight w:val="none"/>
        </w:rPr>
        <w:t>医疗器械生产许可证</w:t>
      </w:r>
      <w:r>
        <w:rPr>
          <w:rFonts w:hint="eastAsia" w:ascii="方正仿宋_GBK" w:hAnsi="方正仿宋_GBK" w:eastAsia="方正仿宋_GBK" w:cs="方正仿宋_GBK"/>
          <w:color w:val="auto"/>
          <w:sz w:val="24"/>
          <w:highlight w:val="none"/>
          <w:lang w:val="en-US" w:eastAsia="zh-CN"/>
        </w:rPr>
        <w:t>复印件</w:t>
      </w:r>
      <w:r>
        <w:rPr>
          <w:rFonts w:hint="eastAsia" w:ascii="方正仿宋_GBK" w:hAnsi="方正仿宋_GBK" w:eastAsia="方正仿宋_GBK" w:cs="方正仿宋_GBK"/>
          <w:b w:val="0"/>
          <w:bCs w:val="0"/>
          <w:strike w:val="0"/>
          <w:dstrike w:val="0"/>
          <w:color w:val="auto"/>
          <w:sz w:val="24"/>
          <w:szCs w:val="24"/>
          <w:lang w:val="en-US" w:eastAsia="zh-CN"/>
        </w:rPr>
        <w:t>；</w:t>
      </w:r>
    </w:p>
    <w:p w14:paraId="3F550255">
      <w:pPr>
        <w:pageBreakBefore w:val="0"/>
        <w:kinsoku/>
        <w:overflowPunct/>
        <w:bidi w:val="0"/>
        <w:spacing w:line="400" w:lineRule="exact"/>
        <w:ind w:firstLine="480" w:firstLineChars="200"/>
        <w:textAlignment w:val="auto"/>
        <w:rPr>
          <w:rFonts w:hint="eastAsia"/>
          <w:color w:val="auto"/>
          <w:lang w:val="en-US" w:eastAsia="zh-CN"/>
        </w:rPr>
      </w:pPr>
      <w:r>
        <w:rPr>
          <w:rFonts w:hint="eastAsia" w:ascii="方正仿宋_GBK" w:hAnsi="方正仿宋_GBK" w:eastAsia="方正仿宋_GBK" w:cs="方正仿宋_GBK"/>
          <w:color w:val="auto"/>
          <w:sz w:val="24"/>
          <w:highlight w:val="none"/>
          <w:lang w:val="en-US" w:eastAsia="zh-CN"/>
        </w:rPr>
        <w:t>2.4</w:t>
      </w:r>
      <w:r>
        <w:rPr>
          <w:rFonts w:hint="eastAsia" w:ascii="方正仿宋_GBK" w:hAnsi="方正仿宋_GBK" w:eastAsia="方正仿宋_GBK" w:cs="方正仿宋_GBK"/>
          <w:color w:val="auto"/>
          <w:sz w:val="24"/>
          <w:highlight w:val="none"/>
        </w:rPr>
        <w:t>所投产品属于</w:t>
      </w:r>
      <w:r>
        <w:rPr>
          <w:rFonts w:hint="eastAsia" w:ascii="方正仿宋_GBK" w:hAnsi="方正仿宋_GBK" w:eastAsia="方正仿宋_GBK" w:cs="方正仿宋_GBK"/>
          <w:color w:val="auto"/>
          <w:sz w:val="24"/>
          <w:highlight w:val="none"/>
          <w:lang w:val="en-US" w:eastAsia="zh-CN"/>
        </w:rPr>
        <w:t>第一类</w:t>
      </w:r>
      <w:r>
        <w:rPr>
          <w:rFonts w:hint="eastAsia" w:ascii="方正仿宋_GBK" w:hAnsi="方正仿宋_GBK" w:eastAsia="方正仿宋_GBK" w:cs="方正仿宋_GBK"/>
          <w:color w:val="auto"/>
          <w:sz w:val="24"/>
          <w:highlight w:val="none"/>
        </w:rPr>
        <w:t>医疗器械</w:t>
      </w:r>
      <w:r>
        <w:rPr>
          <w:rFonts w:hint="eastAsia" w:ascii="方正仿宋_GBK" w:hAnsi="方正仿宋_GBK" w:eastAsia="方正仿宋_GBK" w:cs="方正仿宋_GBK"/>
          <w:color w:val="auto"/>
          <w:sz w:val="24"/>
          <w:highlight w:val="none"/>
          <w:lang w:val="en-US" w:eastAsia="zh-CN"/>
        </w:rPr>
        <w:t>的，应</w:t>
      </w:r>
      <w:r>
        <w:rPr>
          <w:rFonts w:hint="eastAsia" w:ascii="方正仿宋_GBK" w:hAnsi="方正仿宋_GBK" w:eastAsia="方正仿宋_GBK" w:cs="方正仿宋_GBK"/>
          <w:strike w:val="0"/>
          <w:dstrike w:val="0"/>
          <w:color w:val="auto"/>
          <w:sz w:val="24"/>
          <w:highlight w:val="none"/>
          <w:lang w:val="en-US" w:eastAsia="zh-CN"/>
        </w:rPr>
        <w:t>提供</w:t>
      </w:r>
      <w:r>
        <w:rPr>
          <w:rFonts w:hint="eastAsia" w:ascii="方正仿宋_GBK" w:hAnsi="方正仿宋_GBK" w:eastAsia="方正仿宋_GBK" w:cs="方正仿宋_GBK"/>
          <w:color w:val="auto"/>
          <w:sz w:val="24"/>
          <w:highlight w:val="none"/>
          <w:lang w:val="en-US" w:eastAsia="zh-CN"/>
        </w:rPr>
        <w:t>投标产品有效期内的第一类医疗器械备案凭证，提供复印件；属于</w:t>
      </w:r>
      <w:r>
        <w:rPr>
          <w:rFonts w:hint="eastAsia" w:ascii="方正仿宋_GBK" w:hAnsi="方正仿宋_GBK" w:eastAsia="方正仿宋_GBK" w:cs="方正仿宋_GBK"/>
          <w:color w:val="auto"/>
          <w:sz w:val="24"/>
          <w:highlight w:val="none"/>
        </w:rPr>
        <w:t>第二类或第三类医疗器械的，</w:t>
      </w:r>
      <w:r>
        <w:rPr>
          <w:rFonts w:hint="eastAsia" w:ascii="方正仿宋_GBK" w:hAnsi="方正仿宋_GBK" w:eastAsia="方正仿宋_GBK" w:cs="方正仿宋_GBK"/>
          <w:color w:val="auto"/>
          <w:sz w:val="24"/>
          <w:highlight w:val="none"/>
          <w:lang w:val="en-US" w:eastAsia="zh-CN"/>
        </w:rPr>
        <w:t>应</w:t>
      </w:r>
      <w:r>
        <w:rPr>
          <w:rFonts w:hint="eastAsia" w:ascii="方正仿宋_GBK" w:hAnsi="方正仿宋_GBK" w:eastAsia="方正仿宋_GBK" w:cs="方正仿宋_GBK"/>
          <w:strike w:val="0"/>
          <w:dstrike w:val="0"/>
          <w:color w:val="auto"/>
          <w:sz w:val="24"/>
          <w:highlight w:val="none"/>
          <w:lang w:val="en-US" w:eastAsia="zh-CN"/>
        </w:rPr>
        <w:t>提供</w:t>
      </w:r>
      <w:r>
        <w:rPr>
          <w:rFonts w:hint="eastAsia" w:ascii="方正仿宋_GBK" w:hAnsi="方正仿宋_GBK" w:eastAsia="方正仿宋_GBK" w:cs="方正仿宋_GBK"/>
          <w:color w:val="auto"/>
          <w:sz w:val="24"/>
          <w:highlight w:val="none"/>
          <w:lang w:val="en-US" w:eastAsia="zh-CN"/>
        </w:rPr>
        <w:t>投标产品有效期内</w:t>
      </w:r>
      <w:r>
        <w:rPr>
          <w:rFonts w:hint="eastAsia" w:ascii="方正仿宋_GBK" w:hAnsi="方正仿宋_GBK" w:eastAsia="方正仿宋_GBK" w:cs="方正仿宋_GBK"/>
          <w:color w:val="auto"/>
          <w:sz w:val="24"/>
          <w:highlight w:val="none"/>
        </w:rPr>
        <w:t>的医疗器械注册证</w:t>
      </w:r>
      <w:r>
        <w:rPr>
          <w:rFonts w:hint="eastAsia" w:ascii="方正仿宋_GBK" w:hAnsi="方正仿宋_GBK" w:eastAsia="方正仿宋_GBK" w:cs="方正仿宋_GBK"/>
          <w:color w:val="auto"/>
          <w:sz w:val="24"/>
          <w:highlight w:val="none"/>
          <w:lang w:val="en-US" w:eastAsia="zh-CN"/>
        </w:rPr>
        <w:t>，提供复印件；</w:t>
      </w:r>
    </w:p>
    <w:p w14:paraId="24E6CDAC">
      <w:pPr>
        <w:numPr>
          <w:ilvl w:val="0"/>
          <w:numId w:val="0"/>
        </w:num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auto"/>
          <w:sz w:val="24"/>
          <w:szCs w:val="24"/>
          <w:lang w:val="en-US" w:eastAsia="zh-CN"/>
        </w:rPr>
        <w:t>；供应商为代理商的应具有</w:t>
      </w:r>
      <w:r>
        <w:rPr>
          <w:rFonts w:hint="eastAsia" w:ascii="方正仿宋_GBK" w:hAnsi="方正仿宋_GBK" w:eastAsia="方正仿宋_GBK" w:cs="方正仿宋_GBK"/>
          <w:color w:val="auto"/>
          <w:sz w:val="24"/>
          <w:highlight w:val="none"/>
          <w:lang w:val="en-US" w:eastAsia="zh-CN"/>
        </w:rPr>
        <w:t>所投产品</w:t>
      </w:r>
      <w:r>
        <w:rPr>
          <w:rFonts w:hint="eastAsia" w:ascii="方正仿宋_GBK" w:hAnsi="方正仿宋_GBK" w:eastAsia="方正仿宋_GBK" w:cs="方正仿宋_GBK"/>
          <w:b w:val="0"/>
          <w:bCs w:val="0"/>
          <w:color w:val="auto"/>
          <w:sz w:val="24"/>
          <w:szCs w:val="24"/>
          <w:lang w:val="en-US" w:eastAsia="zh-CN"/>
        </w:rPr>
        <w:t>的合法销售资格（提供证明文件加盖单位公章）。</w:t>
      </w:r>
    </w:p>
    <w:p w14:paraId="7E50C0C9">
      <w:pPr>
        <w:tabs>
          <w:tab w:val="left" w:pos="720"/>
        </w:tabs>
        <w:adjustRightInd w:val="0"/>
        <w:snapToGrid w:val="0"/>
        <w:spacing w:line="240" w:lineRule="auto"/>
        <w:ind w:firstLine="480" w:firstLineChars="200"/>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4.产品技术白皮书和彩页资料。</w:t>
      </w:r>
    </w:p>
    <w:p w14:paraId="4AED6FFD">
      <w:pPr>
        <w:pageBreakBefore w:val="0"/>
        <w:widowControl w:val="0"/>
        <w:tabs>
          <w:tab w:val="left" w:pos="720"/>
        </w:tabs>
        <w:kinsoku/>
        <w:wordWrap/>
        <w:overflowPunct/>
        <w:topLinePunct w:val="0"/>
        <w:autoSpaceDE/>
        <w:autoSpaceDN/>
        <w:bidi w:val="0"/>
        <w:adjustRightInd w:val="0"/>
        <w:snapToGrid w:val="0"/>
        <w:spacing w:line="360" w:lineRule="exact"/>
        <w:ind w:firstLine="482" w:firstLineChars="200"/>
        <w:jc w:val="left"/>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说明：</w:t>
      </w:r>
    </w:p>
    <w:p w14:paraId="1860DDE4">
      <w:pPr>
        <w:pageBreakBefore w:val="0"/>
        <w:widowControl w:val="0"/>
        <w:numPr>
          <w:ilvl w:val="0"/>
          <w:numId w:val="0"/>
        </w:numPr>
        <w:tabs>
          <w:tab w:val="left" w:pos="720"/>
        </w:tabs>
        <w:kinsoku/>
        <w:wordWrap/>
        <w:overflowPunct/>
        <w:topLinePunct w:val="0"/>
        <w:autoSpaceDE/>
        <w:autoSpaceDN/>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kern w:val="2"/>
          <w:sz w:val="24"/>
          <w:szCs w:val="24"/>
          <w:lang w:val="en-US" w:eastAsia="zh-CN" w:bidi="ar-SA"/>
        </w:rPr>
        <w:t>1.</w:t>
      </w:r>
      <w:r>
        <w:rPr>
          <w:rFonts w:hint="eastAsia" w:ascii="方正仿宋_GBK" w:hAnsi="方正仿宋_GBK" w:eastAsia="方正仿宋_GBK" w:cs="方正仿宋_GBK"/>
          <w:b w:val="0"/>
          <w:bCs w:val="0"/>
          <w:color w:val="000000"/>
          <w:sz w:val="24"/>
          <w:szCs w:val="24"/>
          <w:lang w:val="en-US" w:eastAsia="zh-CN"/>
        </w:rPr>
        <w:t>上述证明材料须在投标响应文件中复印件加盖</w:t>
      </w:r>
      <w:r>
        <w:rPr>
          <w:rFonts w:hint="eastAsia" w:ascii="方正仿宋_GBK" w:hAnsi="方正仿宋_GBK" w:eastAsia="方正仿宋_GBK" w:cs="方正仿宋_GBK"/>
          <w:b w:val="0"/>
          <w:bCs w:val="0"/>
          <w:strike w:val="0"/>
          <w:dstrike w:val="0"/>
          <w:color w:val="000000"/>
          <w:sz w:val="24"/>
          <w:szCs w:val="24"/>
          <w:lang w:val="en-US" w:eastAsia="zh-CN"/>
        </w:rPr>
        <w:t>单位公章（鲜</w:t>
      </w:r>
      <w:r>
        <w:rPr>
          <w:rFonts w:hint="eastAsia" w:ascii="方正仿宋_GBK" w:hAnsi="方正仿宋_GBK" w:eastAsia="方正仿宋_GBK" w:cs="方正仿宋_GBK"/>
          <w:b w:val="0"/>
          <w:bCs w:val="0"/>
          <w:color w:val="000000"/>
          <w:sz w:val="24"/>
          <w:szCs w:val="24"/>
          <w:lang w:val="en-US" w:eastAsia="zh-CN"/>
        </w:rPr>
        <w:t>章</w:t>
      </w:r>
      <w:r>
        <w:rPr>
          <w:rFonts w:hint="eastAsia" w:ascii="方正仿宋_GBK" w:hAnsi="方正仿宋_GBK" w:eastAsia="方正仿宋_GBK" w:cs="方正仿宋_GBK"/>
          <w:b w:val="0"/>
          <w:bCs w:val="0"/>
          <w:strike w:val="0"/>
          <w:dstrike w:val="0"/>
          <w:color w:val="000000"/>
          <w:sz w:val="24"/>
          <w:szCs w:val="24"/>
          <w:lang w:val="en-US" w:eastAsia="zh-CN"/>
        </w:rPr>
        <w:t>）</w:t>
      </w:r>
      <w:r>
        <w:rPr>
          <w:rFonts w:hint="eastAsia" w:ascii="方正仿宋_GBK" w:hAnsi="方正仿宋_GBK" w:eastAsia="方正仿宋_GBK" w:cs="方正仿宋_GBK"/>
          <w:b w:val="0"/>
          <w:bCs w:val="0"/>
          <w:color w:val="000000"/>
          <w:sz w:val="24"/>
          <w:szCs w:val="24"/>
          <w:lang w:val="en-US" w:eastAsia="zh-CN"/>
        </w:rPr>
        <w:t>。</w:t>
      </w:r>
    </w:p>
    <w:p w14:paraId="275AA59E">
      <w:pPr>
        <w:pageBreakBefore w:val="0"/>
        <w:widowControl w:val="0"/>
        <w:numPr>
          <w:ilvl w:val="0"/>
          <w:numId w:val="0"/>
        </w:numPr>
        <w:tabs>
          <w:tab w:val="left" w:pos="720"/>
        </w:tabs>
        <w:kinsoku/>
        <w:wordWrap/>
        <w:overflowPunct/>
        <w:topLinePunct w:val="0"/>
        <w:autoSpaceDE/>
        <w:autoSpaceDN/>
        <w:bidi w:val="0"/>
        <w:adjustRightInd w:val="0"/>
        <w:snapToGrid w:val="0"/>
        <w:spacing w:line="360" w:lineRule="exact"/>
        <w:ind w:firstLine="480" w:firstLineChars="200"/>
        <w:textAlignment w:val="auto"/>
        <w:rPr>
          <w:rFonts w:hint="eastAsia"/>
          <w:color w:val="000000"/>
          <w:lang w:val="en-US" w:eastAsia="zh-CN"/>
        </w:rPr>
      </w:pPr>
      <w:r>
        <w:rPr>
          <w:rFonts w:hint="eastAsia" w:ascii="方正仿宋_GBK" w:hAnsi="方正仿宋_GBK" w:eastAsia="方正仿宋_GBK" w:cs="方正仿宋_GBK"/>
          <w:b w:val="0"/>
          <w:bCs w:val="0"/>
          <w:color w:val="000000"/>
          <w:sz w:val="24"/>
          <w:szCs w:val="24"/>
          <w:lang w:val="en-US" w:eastAsia="zh-CN"/>
        </w:rPr>
        <w:t>2.采购人在采购有效期内均有权对投标人提供的以上资料（证明材料和证件的原件或复印件）进行核实。采购人在合同签订前有权对投标人提供的资料进行核实，若发现弄虚作假，按相关规定取消其中</w:t>
      </w:r>
      <w:r>
        <w:rPr>
          <w:rFonts w:hint="eastAsia" w:ascii="方正仿宋_GBK" w:hAnsi="方正仿宋_GBK" w:eastAsia="方正仿宋_GBK" w:cs="方正仿宋_GBK"/>
          <w:b w:val="0"/>
          <w:bCs w:val="0"/>
          <w:strike w:val="0"/>
          <w:dstrike w:val="0"/>
          <w:color w:val="000000"/>
          <w:sz w:val="24"/>
          <w:szCs w:val="24"/>
          <w:lang w:val="en-US" w:eastAsia="zh-CN"/>
        </w:rPr>
        <w:t>标</w:t>
      </w:r>
      <w:r>
        <w:rPr>
          <w:rFonts w:hint="eastAsia" w:ascii="方正仿宋_GBK" w:hAnsi="方正仿宋_GBK" w:eastAsia="方正仿宋_GBK" w:cs="方正仿宋_GBK"/>
          <w:b w:val="0"/>
          <w:bCs w:val="0"/>
          <w:color w:val="000000"/>
          <w:sz w:val="24"/>
          <w:szCs w:val="24"/>
          <w:lang w:val="en-US" w:eastAsia="zh-CN"/>
        </w:rPr>
        <w:t>资格，并按相关法律法规处理，投标人承担因此造成的相关责任并赔偿相应损失。</w:t>
      </w:r>
    </w:p>
    <w:p w14:paraId="5F58357F">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五、投标有关说明</w:t>
      </w:r>
    </w:p>
    <w:p w14:paraId="34BE60B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1.报名：2026</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年10月27日至10月29日（工作</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日）9：00—17：00通过线上报名方式获取采购文件（报名提供：项目报名表签字版图片或扫描件及电子版、营业执照等复印件加盖单位（公司）公章（鲜章）图片或扫描件等）；具体线上报名方式详见项目采购公告内容。</w:t>
      </w:r>
      <w:bookmarkStart w:id="4" w:name="_GoBack"/>
      <w:bookmarkEnd w:id="4"/>
    </w:p>
    <w:p w14:paraId="06D4683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报名资料提交邮箱（邮件以附件形式上传）时请以“单位（公司）名称（全称或规范简称）+项目名称报名资料”命名。</w:t>
      </w:r>
    </w:p>
    <w:p w14:paraId="7F331DD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请报名单位报名时将项目报名表电子版随签字版一并发送至采购人指定邮箱（邮件以附件形式上传）。</w:t>
      </w:r>
    </w:p>
    <w:p w14:paraId="65E2A55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保证金：</w:t>
      </w:r>
      <w:r>
        <w:rPr>
          <w:rFonts w:hint="eastAsia" w:ascii="微软雅黑" w:hAnsi="微软雅黑" w:eastAsia="微软雅黑" w:cs="微软雅黑"/>
          <w:b w:val="0"/>
          <w:bCs w:val="0"/>
          <w:color w:val="000000" w:themeColor="text1"/>
          <w:sz w:val="24"/>
          <w:szCs w:val="24"/>
          <w:highlight w:val="none"/>
          <w:lang w:val="en-US" w:eastAsia="zh-CN"/>
          <w14:textFill>
            <w14:solidFill>
              <w14:schemeClr w14:val="tx1"/>
            </w14:solidFill>
          </w14:textFill>
        </w:rPr>
        <w:t>¥</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1500.00</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，缴纳截止时间：</w:t>
      </w:r>
      <w:r>
        <w:rPr>
          <w:rFonts w:hint="eastAsia" w:ascii="方正仿宋_GBK" w:hAnsi="方正仿宋_GBK" w:eastAsia="方正仿宋_GBK" w:cs="方正仿宋_GBK"/>
          <w:b w:val="0"/>
          <w:bCs w:val="0"/>
          <w:color w:val="000000" w:themeColor="text1"/>
          <w:sz w:val="24"/>
          <w:szCs w:val="24"/>
          <w:highlight w:val="none"/>
          <w:lang w:val="en-US" w:eastAsia="zh-CN"/>
          <w14:textFill>
            <w14:solidFill>
              <w14:schemeClr w14:val="tx1"/>
            </w14:solidFill>
          </w14:textFill>
        </w:rPr>
        <w:t>2026年10月29日 17：00</w:t>
      </w:r>
    </w:p>
    <w:p w14:paraId="56FF2B9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缴纳方式：要求以转账方式从其基本银行账户支付至</w:t>
      </w:r>
      <w:r>
        <w:rPr>
          <w:rFonts w:hint="eastAsia" w:ascii="方正仿宋_GBK" w:hAnsi="方正仿宋_GBK" w:eastAsia="方正仿宋_GBK" w:cs="方正仿宋_GBK"/>
          <w:b/>
          <w:bCs/>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银行账户</w:t>
      </w:r>
    </w:p>
    <w:p w14:paraId="31668D24">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办理流程：</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根据本项目缴纳时间节点及投标人实际情况，按下述采购人</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银行账户信息</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转账（对公账户）</w:t>
      </w:r>
    </w:p>
    <w:p w14:paraId="1B651320">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投标人缴纳投标保证金，须在上述要求时间内将投标保证金</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发送至采购人指定邮箱（邮件以附件形式上传），且应将投标保证金（如有，无则不提供）</w:t>
      </w:r>
      <w:r>
        <w:rPr>
          <w:rFonts w:hint="eastAsia" w:ascii="方正仿宋_GBK" w:hAnsi="方正仿宋_GBK" w:eastAsia="方正仿宋_GBK" w:cs="方正仿宋_GBK"/>
          <w:b/>
          <w:bCs/>
          <w:color w:val="000000" w:themeColor="text1"/>
          <w:sz w:val="24"/>
          <w:szCs w:val="24"/>
          <w14:textFill>
            <w14:solidFill>
              <w14:schemeClr w14:val="tx1"/>
            </w14:solidFill>
          </w14:textFill>
        </w:rPr>
        <w:t>转账凭证</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图片或</w:t>
      </w:r>
      <w:r>
        <w:rPr>
          <w:rFonts w:hint="eastAsia" w:ascii="方正仿宋_GBK" w:hAnsi="方正仿宋_GBK" w:eastAsia="方正仿宋_GBK" w:cs="方正仿宋_GBK"/>
          <w:b/>
          <w:bCs/>
          <w:color w:val="000000" w:themeColor="text1"/>
          <w:sz w:val="24"/>
          <w:szCs w:val="24"/>
          <w14:textFill>
            <w14:solidFill>
              <w14:schemeClr w14:val="tx1"/>
            </w14:solidFill>
          </w14:textFill>
        </w:rPr>
        <w:t>扫描件</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按要求附在投标文件内。</w:t>
      </w:r>
    </w:p>
    <w:p w14:paraId="626CC122">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以下情形不予退还投标保证金：</w:t>
      </w:r>
    </w:p>
    <w:p w14:paraId="25B414E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投标人在投标截止日期后没有提交投标，且之前也没有任何通知说明。</w:t>
      </w:r>
    </w:p>
    <w:p w14:paraId="0251232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（2）</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投标人在提交投标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响应</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文件后，突然放弃投标。</w:t>
      </w:r>
    </w:p>
    <w:p w14:paraId="02A38C7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中标后，在接到通知书的30日内，在没有正当理由的情况下拒绝与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人签订合同。</w:t>
      </w:r>
    </w:p>
    <w:p w14:paraId="2D894777">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（4）</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在投标过程中，被发现有违反法律和纪律的行为。</w:t>
      </w:r>
    </w:p>
    <w:p w14:paraId="3858F6E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（5）</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如果在投标过程中，因为违反规定，被他人投诉或举报，事情还</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未</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解决，可以暂不退还投标保证金，待事情</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解决完毕</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后，根据情况决定</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2301FF6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（6）</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投标截止后撤销投标。</w:t>
      </w:r>
    </w:p>
    <w:p w14:paraId="30D12426">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（7）</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中标后不与招标人订立合同。</w:t>
      </w:r>
    </w:p>
    <w:p w14:paraId="2CB4F29F">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（8）中标（成交）供应商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签订合同时向</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采购人</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提出附加条件。</w:t>
      </w:r>
    </w:p>
    <w:p w14:paraId="7801DD5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（9）</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中标后不按照</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文件要求提交履约保证金。</w:t>
      </w:r>
    </w:p>
    <w:p w14:paraId="4AC167B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（10）</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投标人采用不正当的手段骗取中标。</w:t>
      </w:r>
    </w:p>
    <w:p w14:paraId="65E098F1">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（11）</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投标人在</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文件中规定的投标有效期内撤回其投标</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6B591A6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（12）中标（成交）供应商</w:t>
      </w:r>
      <w:r>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t>在规定期限内未能根据规定签订合同或者按规定接受对错误的修正</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w:t>
      </w:r>
    </w:p>
    <w:p w14:paraId="2ED435A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themeColor="text1"/>
          <w:sz w:val="24"/>
          <w:szCs w:val="24"/>
          <w:lang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13</w:t>
      </w:r>
      <w:r>
        <w:rPr>
          <w:rFonts w:hint="eastAsia" w:ascii="方正仿宋_GBK" w:hAnsi="方正仿宋_GBK" w:eastAsia="方正仿宋_GBK" w:cs="方正仿宋_GBK"/>
          <w:color w:val="000000" w:themeColor="text1"/>
          <w:sz w:val="24"/>
          <w:szCs w:val="24"/>
          <w14:textFill>
            <w14:solidFill>
              <w14:schemeClr w14:val="tx1"/>
            </w14:solidFill>
          </w14:textFill>
        </w:rPr>
        <w:t>）投标人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被发现有</w:t>
      </w:r>
      <w:r>
        <w:rPr>
          <w:rFonts w:hint="eastAsia" w:ascii="方正仿宋_GBK" w:hAnsi="方正仿宋_GBK" w:eastAsia="方正仿宋_GBK" w:cs="方正仿宋_GBK"/>
          <w:color w:val="000000" w:themeColor="text1"/>
          <w:sz w:val="24"/>
          <w:szCs w:val="24"/>
          <w14:textFill>
            <w14:solidFill>
              <w14:schemeClr w14:val="tx1"/>
            </w14:solidFill>
          </w14:textFill>
        </w:rPr>
        <w:t>串通投标</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围标行为</w:t>
      </w:r>
      <w:r>
        <w:rPr>
          <w:rFonts w:hint="eastAsia" w:ascii="方正仿宋_GBK" w:hAnsi="方正仿宋_GBK" w:eastAsia="方正仿宋_GBK" w:cs="方正仿宋_GBK"/>
          <w:color w:val="000000" w:themeColor="text1"/>
          <w:sz w:val="24"/>
          <w:szCs w:val="24"/>
          <w14:textFill>
            <w14:solidFill>
              <w14:schemeClr w14:val="tx1"/>
            </w14:solidFill>
          </w14:textFill>
        </w:rPr>
        <w:t>的</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0A434A65">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14:textFill>
            <w14:solidFill>
              <w14:schemeClr w14:val="tx1"/>
            </w14:solidFill>
          </w14:textFill>
        </w:rPr>
        <w:t>（</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14</w:t>
      </w:r>
      <w:r>
        <w:rPr>
          <w:rFonts w:hint="eastAsia" w:ascii="方正仿宋_GBK" w:hAnsi="方正仿宋_GBK" w:eastAsia="方正仿宋_GBK" w:cs="方正仿宋_GBK"/>
          <w:color w:val="000000" w:themeColor="text1"/>
          <w:sz w:val="24"/>
          <w:szCs w:val="24"/>
          <w14:textFill>
            <w14:solidFill>
              <w14:schemeClr w14:val="tx1"/>
            </w14:solidFill>
          </w14:textFill>
        </w:rPr>
        <w:t>）法律、法规和</w:t>
      </w:r>
      <w:r>
        <w:rPr>
          <w:rFonts w:hint="eastAsia" w:ascii="方正仿宋_GBK" w:hAnsi="方正仿宋_GBK" w:eastAsia="方正仿宋_GBK" w:cs="方正仿宋_GBK"/>
          <w:strike w:val="0"/>
          <w:dstrike w:val="0"/>
          <w:color w:val="000000" w:themeColor="text1"/>
          <w:sz w:val="24"/>
          <w:szCs w:val="24"/>
          <w:lang w:val="en-US" w:eastAsia="zh-CN"/>
          <w14:textFill>
            <w14:solidFill>
              <w14:schemeClr w14:val="tx1"/>
            </w14:solidFill>
          </w14:textFill>
        </w:rPr>
        <w:t>采购</w:t>
      </w:r>
      <w:r>
        <w:rPr>
          <w:rFonts w:hint="eastAsia" w:ascii="方正仿宋_GBK" w:hAnsi="方正仿宋_GBK" w:eastAsia="方正仿宋_GBK" w:cs="方正仿宋_GBK"/>
          <w:color w:val="000000" w:themeColor="text1"/>
          <w:sz w:val="24"/>
          <w:szCs w:val="24"/>
          <w14:textFill>
            <w14:solidFill>
              <w14:schemeClr w14:val="tx1"/>
            </w14:solidFill>
          </w14:textFill>
        </w:rPr>
        <w:t>文件规定的其他情形</w:t>
      </w:r>
      <w:r>
        <w:rPr>
          <w:rFonts w:hint="eastAsia" w:ascii="方正仿宋_GBK" w:hAnsi="方正仿宋_GBK" w:eastAsia="方正仿宋_GBK" w:cs="方正仿宋_GBK"/>
          <w:color w:val="000000" w:themeColor="text1"/>
          <w:sz w:val="24"/>
          <w:szCs w:val="24"/>
          <w:lang w:eastAsia="zh-CN"/>
          <w14:textFill>
            <w14:solidFill>
              <w14:schemeClr w14:val="tx1"/>
            </w14:solidFill>
          </w14:textFill>
        </w:rPr>
        <w:t>。</w:t>
      </w:r>
    </w:p>
    <w:p w14:paraId="0DB967D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银行账户信息如下：</w:t>
      </w:r>
    </w:p>
    <w:p w14:paraId="7E3EAF9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户    名：</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重庆医科大学附属康复医院</w:t>
      </w:r>
    </w:p>
    <w:p w14:paraId="19F3F77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银行账号：</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31820101040011318</w:t>
      </w:r>
    </w:p>
    <w:p w14:paraId="5AAA1CE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开户银行：</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中国农业银行股份有限公司重庆石柱支行营业部</w:t>
      </w:r>
    </w:p>
    <w:p w14:paraId="469ACE0E">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特别说明：</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请各投标人投标保证金按项目分别转账，并备注投标项目的名称、包号、投标保证金等关键信息；参与投标须提供缴纳投标保证金有效票据（投标人转账银行回单依据或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采购人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财务科出具票据）。请各投标人自行考虑汇入时间风险，如同城汇入、异地汇入、跨行汇入的时间要求。</w:t>
      </w:r>
    </w:p>
    <w:p w14:paraId="786C9542">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2.响应文件提交：</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请于2026年10月30日14：00- 14：30前送达重庆医</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科大学附属康复医</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院大公馆院区5号楼三楼会议室（龙腾大道·重庆市结核病防治所斜对面）</w:t>
      </w:r>
    </w:p>
    <w:p w14:paraId="429A93FF">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3.谈判</w:t>
      </w:r>
      <w:r>
        <w:rPr>
          <w:rFonts w:hint="eastAsia" w:ascii="方正仿宋_GBK" w:hAnsi="方正仿宋_GBK" w:eastAsia="方正仿宋_GBK" w:cs="方正仿宋_GBK"/>
          <w:b/>
          <w:bCs/>
          <w:color w:val="000000" w:themeColor="text1"/>
          <w:sz w:val="24"/>
          <w:szCs w:val="24"/>
          <w:highlight w:val="none"/>
          <w:lang w:val="en-US" w:eastAsia="zh-CN"/>
          <w14:textFill>
            <w14:solidFill>
              <w14:schemeClr w14:val="tx1"/>
            </w14:solidFill>
          </w14:textFill>
        </w:rPr>
        <w:t>时间：</w:t>
      </w:r>
      <w:r>
        <w:rPr>
          <w:rFonts w:hint="eastAsia" w:ascii="方正仿宋_GBK" w:hAnsi="方正仿宋_GBK" w:eastAsia="方正仿宋_GBK" w:cs="方正仿宋_GBK"/>
          <w:color w:val="000000" w:themeColor="text1"/>
          <w:sz w:val="24"/>
          <w:szCs w:val="24"/>
          <w:highlight w:val="none"/>
          <w:lang w:val="en-US" w:eastAsia="zh-CN"/>
          <w14:textFill>
            <w14:solidFill>
              <w14:schemeClr w14:val="tx1"/>
            </w14:solidFill>
          </w14:textFill>
        </w:rPr>
        <w:t>2026年10月30日14：30</w:t>
      </w:r>
    </w:p>
    <w:p w14:paraId="3361276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4.谈判地点：</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重庆医科大学附属康复医院</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大公馆院区5号楼三楼会议室（龙腾大道·重庆市结核病防治所斜对面）</w:t>
      </w:r>
    </w:p>
    <w:p w14:paraId="7B9B132E">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5.联系人：</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招采办 陈老师   联系电话：</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023-61307208</w:t>
      </w:r>
    </w:p>
    <w:p w14:paraId="0736BCF4">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6.本项目不接受联合体投标。</w:t>
      </w:r>
    </w:p>
    <w:p w14:paraId="647209B5">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7.投标人按上述时间和要求提交报名资料（详见附件）发送至采购人陈老师邮箱：843996568@qq.com，采购人审核有效无误后，将第一时间发送本项目采购文件电子版至投标人报名接收邮箱，请注意查收。</w:t>
      </w:r>
    </w:p>
    <w:p w14:paraId="49FA180A">
      <w:pPr>
        <w:snapToGrid w:val="0"/>
        <w:spacing w:line="400" w:lineRule="exact"/>
        <w:ind w:firstLine="482" w:firstLineChars="200"/>
        <w:jc w:val="lef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8.投标人须将报名所需资料在本项目采购公告要求时间内发送至采购人指定邮箱，在公告要求时间外发送的报名邮件概不接收，为无效报名。</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1ABDDA21">
      <w:pPr>
        <w:snapToGrid w:val="0"/>
        <w:spacing w:line="400" w:lineRule="exact"/>
        <w:ind w:firstLine="480" w:firstLineChars="200"/>
        <w:jc w:val="lef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p>
    <w:p w14:paraId="086E9868">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13E0C591">
      <w:pPr>
        <w:adjustRightInd w:val="0"/>
        <w:snapToGrid w:val="0"/>
        <w:spacing w:line="360" w:lineRule="auto"/>
        <w:ind w:left="1443" w:leftChars="228" w:hanging="964" w:hangingChars="4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营业执照等复印件加盖单位（公司）公章（鲜章）图片或扫描件</w:t>
      </w:r>
    </w:p>
    <w:p w14:paraId="4CCAC4E8">
      <w:pPr>
        <w:adjustRightInd w:val="0"/>
        <w:snapToGrid w:val="0"/>
        <w:spacing w:line="360" w:lineRule="auto"/>
        <w:ind w:left="1437" w:leftChars="570" w:hanging="240" w:hangingChars="1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（自行提供）</w:t>
      </w:r>
    </w:p>
    <w:p w14:paraId="59D322FF">
      <w:pPr>
        <w:adjustRightInd w:val="0"/>
        <w:snapToGrid w:val="0"/>
        <w:spacing w:line="360" w:lineRule="auto"/>
        <w:ind w:firstLine="482"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附件3：</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投标保证金转账凭证图片或扫描件（自行提供）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50EAD"/>
    <w:rsid w:val="00BE32F3"/>
    <w:rsid w:val="011A24F4"/>
    <w:rsid w:val="013637D1"/>
    <w:rsid w:val="016025FC"/>
    <w:rsid w:val="01B666C0"/>
    <w:rsid w:val="02377801"/>
    <w:rsid w:val="02816CCE"/>
    <w:rsid w:val="028F59B7"/>
    <w:rsid w:val="02DA018C"/>
    <w:rsid w:val="038D51FF"/>
    <w:rsid w:val="03A367D0"/>
    <w:rsid w:val="03C74BB5"/>
    <w:rsid w:val="03E5328D"/>
    <w:rsid w:val="04C17856"/>
    <w:rsid w:val="04C42EA2"/>
    <w:rsid w:val="05340028"/>
    <w:rsid w:val="059720D3"/>
    <w:rsid w:val="05C80770"/>
    <w:rsid w:val="06500E91"/>
    <w:rsid w:val="068D4DE3"/>
    <w:rsid w:val="06BC6527"/>
    <w:rsid w:val="06DB44D3"/>
    <w:rsid w:val="06F86EF5"/>
    <w:rsid w:val="075C73C2"/>
    <w:rsid w:val="077B0190"/>
    <w:rsid w:val="0854453D"/>
    <w:rsid w:val="086D0371"/>
    <w:rsid w:val="08B80F70"/>
    <w:rsid w:val="09572537"/>
    <w:rsid w:val="0963712E"/>
    <w:rsid w:val="098D41AA"/>
    <w:rsid w:val="099512B1"/>
    <w:rsid w:val="09DB3168"/>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BD1C4A"/>
    <w:rsid w:val="0DDA7292"/>
    <w:rsid w:val="0E2449B2"/>
    <w:rsid w:val="0E560766"/>
    <w:rsid w:val="0E990EFC"/>
    <w:rsid w:val="0EA93835"/>
    <w:rsid w:val="0EEF263A"/>
    <w:rsid w:val="0F1D7D7F"/>
    <w:rsid w:val="0F3375A2"/>
    <w:rsid w:val="0FA45DAA"/>
    <w:rsid w:val="0FAB7138"/>
    <w:rsid w:val="0FDC19E8"/>
    <w:rsid w:val="10501A8E"/>
    <w:rsid w:val="108609DF"/>
    <w:rsid w:val="10C5422A"/>
    <w:rsid w:val="10F33DE4"/>
    <w:rsid w:val="117D2D56"/>
    <w:rsid w:val="11CD7AC2"/>
    <w:rsid w:val="11F528ED"/>
    <w:rsid w:val="12015736"/>
    <w:rsid w:val="128B4FFF"/>
    <w:rsid w:val="130628D8"/>
    <w:rsid w:val="1324792E"/>
    <w:rsid w:val="13477178"/>
    <w:rsid w:val="137912FC"/>
    <w:rsid w:val="13D12EE6"/>
    <w:rsid w:val="13ED41C3"/>
    <w:rsid w:val="13FC4407"/>
    <w:rsid w:val="140016F8"/>
    <w:rsid w:val="14E82BDD"/>
    <w:rsid w:val="152A0AFF"/>
    <w:rsid w:val="15B71A60"/>
    <w:rsid w:val="15FF1F8C"/>
    <w:rsid w:val="16933115"/>
    <w:rsid w:val="17CA481C"/>
    <w:rsid w:val="17D95D62"/>
    <w:rsid w:val="18047D2E"/>
    <w:rsid w:val="1881137E"/>
    <w:rsid w:val="18A84B5D"/>
    <w:rsid w:val="18EB2C9C"/>
    <w:rsid w:val="192D0BBE"/>
    <w:rsid w:val="19704F75"/>
    <w:rsid w:val="19A1335A"/>
    <w:rsid w:val="19AC5F87"/>
    <w:rsid w:val="19CB2271"/>
    <w:rsid w:val="1A7044CA"/>
    <w:rsid w:val="1A7D3DC7"/>
    <w:rsid w:val="1AB05F4B"/>
    <w:rsid w:val="1AB84DFF"/>
    <w:rsid w:val="1ACB068F"/>
    <w:rsid w:val="1ADA2FC8"/>
    <w:rsid w:val="1AF04599"/>
    <w:rsid w:val="1AF23E6D"/>
    <w:rsid w:val="1AFF658A"/>
    <w:rsid w:val="1B2D30F7"/>
    <w:rsid w:val="1BAA4748"/>
    <w:rsid w:val="1BAF6202"/>
    <w:rsid w:val="1BB47375"/>
    <w:rsid w:val="1BF96362"/>
    <w:rsid w:val="1C316C17"/>
    <w:rsid w:val="1C362480"/>
    <w:rsid w:val="1CA4388D"/>
    <w:rsid w:val="1CEB6DC6"/>
    <w:rsid w:val="1CEE68B6"/>
    <w:rsid w:val="1D2D73DF"/>
    <w:rsid w:val="1D350989"/>
    <w:rsid w:val="1D66769D"/>
    <w:rsid w:val="1DA67191"/>
    <w:rsid w:val="1E124827"/>
    <w:rsid w:val="1E9C661C"/>
    <w:rsid w:val="1EDC730E"/>
    <w:rsid w:val="1F0E3240"/>
    <w:rsid w:val="1F3E1D77"/>
    <w:rsid w:val="1F6317DE"/>
    <w:rsid w:val="1FD77AD6"/>
    <w:rsid w:val="20AA343C"/>
    <w:rsid w:val="21380A48"/>
    <w:rsid w:val="21420657"/>
    <w:rsid w:val="21BE0F4D"/>
    <w:rsid w:val="21F11323"/>
    <w:rsid w:val="222820B6"/>
    <w:rsid w:val="22C2356F"/>
    <w:rsid w:val="2322375E"/>
    <w:rsid w:val="245A2A83"/>
    <w:rsid w:val="245C67FB"/>
    <w:rsid w:val="251946ED"/>
    <w:rsid w:val="255816B9"/>
    <w:rsid w:val="25826736"/>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9C5BA4"/>
    <w:rsid w:val="2AD96DF8"/>
    <w:rsid w:val="2AE90244"/>
    <w:rsid w:val="2C1F4CDE"/>
    <w:rsid w:val="2C7548FE"/>
    <w:rsid w:val="2C9A6F3E"/>
    <w:rsid w:val="2CF241A1"/>
    <w:rsid w:val="2E4A5917"/>
    <w:rsid w:val="2EB77450"/>
    <w:rsid w:val="2FF41FDE"/>
    <w:rsid w:val="303D3985"/>
    <w:rsid w:val="3078676B"/>
    <w:rsid w:val="30F60495"/>
    <w:rsid w:val="31232B7B"/>
    <w:rsid w:val="313E5C07"/>
    <w:rsid w:val="31745184"/>
    <w:rsid w:val="31A11CF2"/>
    <w:rsid w:val="324B145C"/>
    <w:rsid w:val="325B00F2"/>
    <w:rsid w:val="3421711A"/>
    <w:rsid w:val="342A4220"/>
    <w:rsid w:val="345D2848"/>
    <w:rsid w:val="34897199"/>
    <w:rsid w:val="34BD5094"/>
    <w:rsid w:val="35325A82"/>
    <w:rsid w:val="3555351F"/>
    <w:rsid w:val="35645510"/>
    <w:rsid w:val="358D0F0B"/>
    <w:rsid w:val="361E6007"/>
    <w:rsid w:val="361E74B8"/>
    <w:rsid w:val="366003CD"/>
    <w:rsid w:val="36A302BA"/>
    <w:rsid w:val="37076A9B"/>
    <w:rsid w:val="371B42F4"/>
    <w:rsid w:val="37362EDC"/>
    <w:rsid w:val="3821593A"/>
    <w:rsid w:val="38233460"/>
    <w:rsid w:val="3836588A"/>
    <w:rsid w:val="38E250CA"/>
    <w:rsid w:val="3A00614F"/>
    <w:rsid w:val="3A4D2A17"/>
    <w:rsid w:val="3A8D5509"/>
    <w:rsid w:val="3A9248CD"/>
    <w:rsid w:val="3AD35612"/>
    <w:rsid w:val="3B903503"/>
    <w:rsid w:val="3B9A7E9A"/>
    <w:rsid w:val="3B9C1EA7"/>
    <w:rsid w:val="3BB52F69"/>
    <w:rsid w:val="3BBA232E"/>
    <w:rsid w:val="3BFE67ED"/>
    <w:rsid w:val="3C011D0B"/>
    <w:rsid w:val="3DA27781"/>
    <w:rsid w:val="3DAC5CA6"/>
    <w:rsid w:val="3DAE1CD4"/>
    <w:rsid w:val="3DCF3A3B"/>
    <w:rsid w:val="3DE74F30"/>
    <w:rsid w:val="3E0B0C1F"/>
    <w:rsid w:val="3F4F5483"/>
    <w:rsid w:val="3F626F64"/>
    <w:rsid w:val="3FA7706D"/>
    <w:rsid w:val="407927B7"/>
    <w:rsid w:val="408B24EB"/>
    <w:rsid w:val="40A62E81"/>
    <w:rsid w:val="40AE7F87"/>
    <w:rsid w:val="40B97058"/>
    <w:rsid w:val="40E02836"/>
    <w:rsid w:val="412D5350"/>
    <w:rsid w:val="416A65A4"/>
    <w:rsid w:val="417C50FB"/>
    <w:rsid w:val="419B06AD"/>
    <w:rsid w:val="41ED600E"/>
    <w:rsid w:val="4255690C"/>
    <w:rsid w:val="42607D38"/>
    <w:rsid w:val="427F77EF"/>
    <w:rsid w:val="42AD6748"/>
    <w:rsid w:val="435D1690"/>
    <w:rsid w:val="436D5ED7"/>
    <w:rsid w:val="43E22422"/>
    <w:rsid w:val="4475773A"/>
    <w:rsid w:val="44A15B54"/>
    <w:rsid w:val="44A65B45"/>
    <w:rsid w:val="45330DC3"/>
    <w:rsid w:val="457572C5"/>
    <w:rsid w:val="45FC3543"/>
    <w:rsid w:val="463D4287"/>
    <w:rsid w:val="4669507C"/>
    <w:rsid w:val="46A75BA4"/>
    <w:rsid w:val="46D83FB0"/>
    <w:rsid w:val="46F32B98"/>
    <w:rsid w:val="478C7274"/>
    <w:rsid w:val="47F95F8C"/>
    <w:rsid w:val="48256D81"/>
    <w:rsid w:val="49557B3A"/>
    <w:rsid w:val="49635DB3"/>
    <w:rsid w:val="49677465"/>
    <w:rsid w:val="49B26D3A"/>
    <w:rsid w:val="49F509D5"/>
    <w:rsid w:val="4A2319E6"/>
    <w:rsid w:val="4A8A55C1"/>
    <w:rsid w:val="4B02784D"/>
    <w:rsid w:val="4B3E0E6C"/>
    <w:rsid w:val="4B5300A9"/>
    <w:rsid w:val="4B63653E"/>
    <w:rsid w:val="4B72052F"/>
    <w:rsid w:val="4B840262"/>
    <w:rsid w:val="4B9A34BB"/>
    <w:rsid w:val="4BC32B39"/>
    <w:rsid w:val="4BCF3BD3"/>
    <w:rsid w:val="4BE13907"/>
    <w:rsid w:val="4C0513A3"/>
    <w:rsid w:val="4C115F9A"/>
    <w:rsid w:val="4CA3296A"/>
    <w:rsid w:val="4D3D2DBF"/>
    <w:rsid w:val="4D455366"/>
    <w:rsid w:val="4DFC67D6"/>
    <w:rsid w:val="4E4361B3"/>
    <w:rsid w:val="4E473EF5"/>
    <w:rsid w:val="4E7418D9"/>
    <w:rsid w:val="4ECF7A46"/>
    <w:rsid w:val="4F6E3703"/>
    <w:rsid w:val="4FA62E9D"/>
    <w:rsid w:val="504601DC"/>
    <w:rsid w:val="5055041F"/>
    <w:rsid w:val="50884351"/>
    <w:rsid w:val="509C604E"/>
    <w:rsid w:val="50C835BA"/>
    <w:rsid w:val="50EC0D83"/>
    <w:rsid w:val="51CC5C45"/>
    <w:rsid w:val="51D13AD5"/>
    <w:rsid w:val="520143BB"/>
    <w:rsid w:val="52AA2CA4"/>
    <w:rsid w:val="52C8312A"/>
    <w:rsid w:val="52F50027"/>
    <w:rsid w:val="536A5F90"/>
    <w:rsid w:val="54352A41"/>
    <w:rsid w:val="54F50220"/>
    <w:rsid w:val="552D350A"/>
    <w:rsid w:val="55702C50"/>
    <w:rsid w:val="55773A5E"/>
    <w:rsid w:val="55853555"/>
    <w:rsid w:val="561F3061"/>
    <w:rsid w:val="567F7FA4"/>
    <w:rsid w:val="570C5CDB"/>
    <w:rsid w:val="577E025B"/>
    <w:rsid w:val="579B705F"/>
    <w:rsid w:val="57CF18D5"/>
    <w:rsid w:val="57EE3633"/>
    <w:rsid w:val="586438F5"/>
    <w:rsid w:val="587D6765"/>
    <w:rsid w:val="587F5983"/>
    <w:rsid w:val="589715D5"/>
    <w:rsid w:val="58F509F1"/>
    <w:rsid w:val="5A094754"/>
    <w:rsid w:val="5A7122F9"/>
    <w:rsid w:val="5AB84E83"/>
    <w:rsid w:val="5ADC7773"/>
    <w:rsid w:val="5AEE74A6"/>
    <w:rsid w:val="5B046CCA"/>
    <w:rsid w:val="5B21162A"/>
    <w:rsid w:val="5B5B0FE0"/>
    <w:rsid w:val="5BC326E1"/>
    <w:rsid w:val="5BE30FD5"/>
    <w:rsid w:val="5BF44F90"/>
    <w:rsid w:val="5BF64864"/>
    <w:rsid w:val="5C115B42"/>
    <w:rsid w:val="5C28615A"/>
    <w:rsid w:val="5C9B540C"/>
    <w:rsid w:val="5C9F6CAA"/>
    <w:rsid w:val="5CB87D6C"/>
    <w:rsid w:val="5CC826A5"/>
    <w:rsid w:val="5CF1327E"/>
    <w:rsid w:val="5D0D6309"/>
    <w:rsid w:val="5D0E2082"/>
    <w:rsid w:val="5D13221E"/>
    <w:rsid w:val="5D1F7DEB"/>
    <w:rsid w:val="5D347D3A"/>
    <w:rsid w:val="5DE207DB"/>
    <w:rsid w:val="5DEA664B"/>
    <w:rsid w:val="5DFE58E1"/>
    <w:rsid w:val="5E3E0745"/>
    <w:rsid w:val="5E3E24F3"/>
    <w:rsid w:val="5EE02DC9"/>
    <w:rsid w:val="5F3202A9"/>
    <w:rsid w:val="5FC66C44"/>
    <w:rsid w:val="5FCA6734"/>
    <w:rsid w:val="603E67DA"/>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7FA1B80"/>
    <w:rsid w:val="68010AE0"/>
    <w:rsid w:val="68183DB4"/>
    <w:rsid w:val="6821710D"/>
    <w:rsid w:val="68582403"/>
    <w:rsid w:val="68D467FE"/>
    <w:rsid w:val="693966D8"/>
    <w:rsid w:val="69C53AC8"/>
    <w:rsid w:val="6A4B66C1"/>
    <w:rsid w:val="6AA9312D"/>
    <w:rsid w:val="6B767770"/>
    <w:rsid w:val="6BB9765C"/>
    <w:rsid w:val="6C111246"/>
    <w:rsid w:val="6C445178"/>
    <w:rsid w:val="6C635F46"/>
    <w:rsid w:val="6C7041BF"/>
    <w:rsid w:val="6CCD7863"/>
    <w:rsid w:val="6CD24E7A"/>
    <w:rsid w:val="6CEB5F3B"/>
    <w:rsid w:val="6E182D60"/>
    <w:rsid w:val="6E2C2368"/>
    <w:rsid w:val="6E3851B0"/>
    <w:rsid w:val="6E5972F9"/>
    <w:rsid w:val="6E5B2C4D"/>
    <w:rsid w:val="6EB34837"/>
    <w:rsid w:val="6F2A2D4B"/>
    <w:rsid w:val="6F4934A7"/>
    <w:rsid w:val="6F881820"/>
    <w:rsid w:val="6FEB0909"/>
    <w:rsid w:val="70360EFA"/>
    <w:rsid w:val="70384FF4"/>
    <w:rsid w:val="70A00DEB"/>
    <w:rsid w:val="70AD3C34"/>
    <w:rsid w:val="70DC1E23"/>
    <w:rsid w:val="711710AD"/>
    <w:rsid w:val="71394DF1"/>
    <w:rsid w:val="71F96A05"/>
    <w:rsid w:val="71FE04BF"/>
    <w:rsid w:val="72343EE1"/>
    <w:rsid w:val="72B56DCF"/>
    <w:rsid w:val="72BF37AA"/>
    <w:rsid w:val="73497518"/>
    <w:rsid w:val="737E18B7"/>
    <w:rsid w:val="7392524F"/>
    <w:rsid w:val="73944C37"/>
    <w:rsid w:val="73AF7CC3"/>
    <w:rsid w:val="73EB05CF"/>
    <w:rsid w:val="75412B9C"/>
    <w:rsid w:val="75F61BD9"/>
    <w:rsid w:val="766C2B27"/>
    <w:rsid w:val="766F54E7"/>
    <w:rsid w:val="76DA32A9"/>
    <w:rsid w:val="76E45ED5"/>
    <w:rsid w:val="77106CCA"/>
    <w:rsid w:val="77A64F39"/>
    <w:rsid w:val="77B16BC4"/>
    <w:rsid w:val="782C7B34"/>
    <w:rsid w:val="79030169"/>
    <w:rsid w:val="7924080B"/>
    <w:rsid w:val="79764918"/>
    <w:rsid w:val="7A590988"/>
    <w:rsid w:val="7A97500D"/>
    <w:rsid w:val="7AE244DA"/>
    <w:rsid w:val="7C23124E"/>
    <w:rsid w:val="7C6158D2"/>
    <w:rsid w:val="7C7F3FAA"/>
    <w:rsid w:val="7CAC1243"/>
    <w:rsid w:val="7CCD740C"/>
    <w:rsid w:val="7D60202E"/>
    <w:rsid w:val="7D9F2B22"/>
    <w:rsid w:val="7DFC1D56"/>
    <w:rsid w:val="7E0B01EB"/>
    <w:rsid w:val="7E553215"/>
    <w:rsid w:val="7E7649FF"/>
    <w:rsid w:val="7EB51F05"/>
    <w:rsid w:val="7F5259A6"/>
    <w:rsid w:val="7F710522"/>
    <w:rsid w:val="7FD55181"/>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rPr>
      <w:rFonts w:ascii="仿宋_GB2312" w:eastAsia="仿宋_GB2312"/>
      <w:sz w:val="32"/>
    </w:rPr>
  </w:style>
  <w:style w:type="paragraph" w:styleId="5">
    <w:name w:val="Body Text 2"/>
    <w:basedOn w:val="1"/>
    <w:qFormat/>
    <w:uiPriority w:val="0"/>
    <w:pPr>
      <w:adjustRightInd w:val="0"/>
      <w:snapToGrid w:val="0"/>
      <w:spacing w:after="120" w:afterLines="0" w:afterAutospacing="0" w:line="480" w:lineRule="auto"/>
    </w:pPr>
    <w:rPr>
      <w:sz w:val="24"/>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basedOn w:val="4"/>
    <w:qFormat/>
    <w:uiPriority w:val="0"/>
    <w:pPr>
      <w:spacing w:line="360" w:lineRule="auto"/>
      <w:ind w:firstLine="420"/>
    </w:pPr>
    <w:rPr>
      <w:rFonts w:ascii="宋体" w:hAnsi="宋体"/>
      <w:sz w:val="24"/>
    </w:rPr>
  </w:style>
  <w:style w:type="character" w:customStyle="1" w:styleId="10">
    <w:name w:val="NormalCharacter"/>
    <w:semiHidden/>
    <w:qFormat/>
    <w:uiPriority w:val="0"/>
    <w:rPr>
      <w:rFonts w:ascii="Verdana" w:hAnsi="Verdana" w:eastAsia="仿宋_GB2312"/>
      <w:sz w:val="24"/>
      <w:lang w:val="en-US" w:eastAsia="en-US" w:bidi="ar-SA"/>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718</Words>
  <Characters>763</Characters>
  <Lines>0</Lines>
  <Paragraphs>0</Paragraphs>
  <TotalTime>1</TotalTime>
  <ScaleCrop>false</ScaleCrop>
  <LinksUpToDate>false</LinksUpToDate>
  <CharactersWithSpaces>764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陈瑞林</cp:lastModifiedBy>
  <dcterms:modified xsi:type="dcterms:W3CDTF">2026-10-27T00:52:06Z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eyJoZGlkIjoiMjEwZTk0M2Y5YjMzNGVhZjViYjFhMmVhM2Y3YzVjNDIiLCJ1c2VySWQiOiIxNTY5OTAxMDkyIn0=</vt:lpwstr>
  </property>
  <property fmtid="{D5CDD505-2E9C-101B-9397-08002B2CF9AE}" pid="4" name="ICV">
    <vt:lpwstr>3116790BB29143769C3A7452F4900118_12</vt:lpwstr>
  </property>
</Properties>
</file>